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be54fd037dd688ddf39e90c05f95f650ccde2ec"/>
    <w:p>
      <w:pPr>
        <w:pStyle w:val="Heading1"/>
      </w:pPr>
      <w:r>
        <w:t xml:space="preserve">Case Study: Navigating the Financial Landscape as a Banker in United States Los Angeles</w:t>
      </w:r>
    </w:p>
    <w:p>
      <w:pPr>
        <w:pStyle w:val="FirstParagraph"/>
      </w:pPr>
      <w:r>
        <w:rPr>
          <w:bCs/>
          <w:b/>
        </w:rPr>
        <w:t xml:space="preserve">Date:</w:t>
      </w:r>
      <w:r>
        <w:t xml:space="preserve"> </w:t>
      </w:r>
      <w:r>
        <w:t xml:space="preserve">October 24, 2023</w:t>
      </w:r>
      <w:r>
        <w:br/>
      </w:r>
      <w:r>
        <w:rPr>
          <w:bCs/>
          <w:b/>
        </w:rPr>
        <w:t xml:space="preserve">Location:</w:t>
      </w:r>
      <w:hyperlink w:anchor="Xa39a3ee5e6b4b0d3255bfef95601890afd80709">
        <w:r>
          <w:rPr>
            <w:rStyle w:val="Hyperlink"/>
          </w:rPr>
          <w:t xml:space="preserve">United States Los Angeles</w:t>
        </w:r>
      </w:hyperlink>
      <w:r>
        <w:br/>
      </w:r>
      <w:r>
        <w:rPr>
          <w:bCs/>
          <w:b/>
        </w:rPr>
        <w:t xml:space="preserve">Subject:</w:t>
      </w:r>
      <w:r>
        <w:t xml:space="preserve">The Evolving Role of the Banker in a Post-Digital Era</w:t>
      </w:r>
      <w:r>
        <w:br/>
      </w:r>
      <w:r>
        <w:rPr>
          <w:bCs/>
          <w:b/>
        </w:rPr>
        <w:t xml:space="preserve">Status:</w:t>
      </w:r>
      <w:r>
        <w:t xml:space="preserve">Closed / Archived for Historical Analysis</w:t>
      </w:r>
    </w:p>
    <w:p>
      <w:pPr>
        <w:pStyle w:val="BodyText"/>
      </w:pPr>
      <w:r>
        <w:t xml:space="preserve">This case study examines the operational dynamics, challenges, and strategic adaptations required for a professional</w:t>
      </w:r>
      <w:r>
        <w:t xml:space="preserve"> </w:t>
      </w:r>
      <w:r>
        <w:rPr>
          <w:bCs/>
          <w:b/>
        </w:rPr>
        <w:t xml:space="preserve">Banker</w:t>
      </w:r>
      <w:r>
        <w:t xml:space="preserve"> </w:t>
      </w:r>
      <w:r>
        <w:t xml:space="preserve">operating within the complex financial ecosystem of</w:t>
      </w:r>
      <w:r>
        <w:t xml:space="preserve"> </w:t>
      </w:r>
      <w:hyperlink w:anchor="Xa39a3ee5e6b4b0d3255bfef95601890afd80709">
        <w:r>
          <w:rPr>
            <w:rStyle w:val="Hyperlink"/>
          </w:rPr>
          <w:t xml:space="preserve">United States Los Angeles</w:t>
        </w:r>
      </w:hyperlink>
      <w:r>
        <w:t xml:space="preserve">. As one of the largest metropolitan areas in North America,</w:t>
      </w:r>
      <w:hyperlink w:anchor="Xa39a3ee5e6b4b0d3255bfef95601890afd80709">
        <w:r>
          <w:rPr>
            <w:rStyle w:val="Hyperlink"/>
          </w:rPr>
          <w:t xml:space="preserve">Los Angeles</w:t>
        </w:r>
      </w:hyperlink>
      <w:r>
        <w:t xml:space="preserve"> </w:t>
      </w:r>
      <w:r>
        <w:t xml:space="preserve">presents a unique convergence of industries, including entertainment, international trade, aerospace, and technology. For a</w:t>
      </w:r>
      <w:r>
        <w:t xml:space="preserve"> </w:t>
      </w:r>
      <w:r>
        <w:rPr>
          <w:bCs/>
          <w:b/>
        </w:rPr>
        <w:t xml:space="preserve">Banker</w:t>
      </w:r>
      <w:r>
        <w:t xml:space="preserve">, understanding the local economic drivers is not merely beneficial but essential for success. This document explores how modern banking practices have shifted from transactional services to relationship-based advisory roles in this specific geographic context.</w:t>
      </w:r>
    </w:p>
    <w:p>
      <w:pPr>
        <w:pStyle w:val="BodyText"/>
      </w:pPr>
      <w:r>
        <w:t xml:space="preserve">United States Los Angeles</w:t>
      </w:r>
    </w:p>
    <w:p>
      <w:pPr>
        <w:pStyle w:val="BodyText"/>
      </w:pPr>
      <w:r>
        <w:t xml:space="preserve">The financial landscape of</w:t>
      </w:r>
      <w:r>
        <w:t xml:space="preserve"> </w:t>
      </w:r>
      <w:hyperlink w:anchor="Xa39a3ee5e6b4b0d3255bfef95601890afd80709">
        <w:r>
          <w:rPr>
            <w:rStyle w:val="Hyperlink"/>
          </w:rPr>
          <w:t xml:space="preserve">Los Angeles</w:t>
        </w:r>
      </w:hyperlink>
      <w:r>
        <w:t xml:space="preserve"> </w:t>
      </w:r>
      <w:r>
        <w:t xml:space="preserve">is distinct from other major financial hubs like New York City or Chicago. While it does not serve as the primary center for investment banking in terms of volume, it is a critical hub for commercial lending, private wealth management, and cross-border transactions involving Asia and Latin America. The city's diverse demographic makeup means that a</w:t>
      </w:r>
      <w:r>
        <w:t xml:space="preserve"> </w:t>
      </w:r>
      <w:r>
        <w:rPr>
          <w:bCs/>
          <w:b/>
        </w:rPr>
        <w:t xml:space="preserve">Banker</w:t>
      </w:r>
      <w:r>
        <w:t xml:space="preserve"> </w:t>
      </w:r>
      <w:r>
        <w:t xml:space="preserve">must possess cultural competency and linguistic skills to serve a clientele that spans from high-net-worth individuals in Beverly Hills to small business owners in Boyle Heights.</w:t>
      </w:r>
    </w:p>
    <w:p>
      <w:pPr>
        <w:pStyle w:val="BodyText"/>
      </w:pPr>
      <w:r>
        <w:t xml:space="preserve">The rise of FinTech startups based in the Los Angeles tech corridor has further pressured traditional banking models. A modern</w:t>
      </w:r>
      <w:r>
        <w:t xml:space="preserve"> </w:t>
      </w:r>
      <w:r>
        <w:rPr>
          <w:bCs/>
          <w:b/>
        </w:rPr>
        <w:t xml:space="preserve">Banker</w:t>
      </w:r>
      <w:r>
        <w:t xml:space="preserve"> </w:t>
      </w:r>
      <w:r>
        <w:t xml:space="preserve">cannot simply rely on institutional trust; they must integrate digital tools while maintaining the human touch that distinguishes premium service from automated banking.</w:t>
      </w:r>
    </w:p>
    <w:p>
      <w:pPr>
        <w:pStyle w:val="BodyText"/>
      </w:pPr>
      <w:r>
        <w:t xml:space="preserve">BankerIn this case study, we define a</w:t>
      </w:r>
      <w:r>
        <w:t xml:space="preserve"> </w:t>
      </w:r>
      <w:r>
        <w:rPr>
          <w:bCs/>
          <w:b/>
        </w:rPr>
        <w:t xml:space="preserve">Banker</w:t>
      </w:r>
      <w:r>
        <w:t xml:space="preserve"> </w:t>
      </w:r>
      <w:r>
        <w:t xml:space="preserve">not merely as a loan officer or teller, but as a financial architect who guides clients through complex regulatory environments in the</w:t>
      </w:r>
      <w:r>
        <w:t xml:space="preserve"> </w:t>
      </w:r>
      <w:hyperlink w:anchor="Xa39a3ee5e6b4b0d3255bfef95601890afd80709">
        <w:r>
          <w:rPr>
            <w:rStyle w:val="Hyperlink"/>
          </w:rPr>
          <w:t xml:space="preserve">United States Los Angeles</w:t>
        </w:r>
      </w:hyperlink>
      <w:r>
        <w:t xml:space="preserve"> </w:t>
      </w:r>
      <w:r>
        <w:t xml:space="preserve">market. The role has expanded to include:</w:t>
      </w:r>
    </w:p>
    <w:p>
      <w:pPr>
        <w:numPr>
          <w:ilvl w:val="0"/>
          <w:numId w:val="1001"/>
        </w:numPr>
        <w:pStyle w:val="Compact"/>
      </w:pPr>
      <w:r>
        <w:rPr>
          <w:bCs/>
          <w:b/>
        </w:rPr>
        <w:t xml:space="preserve">Crisis Management:</w:t>
      </w:r>
      <w:r>
        <w:t xml:space="preserve">Navigating clients through economic fluctuations and industry-specific downturns (e.g., entertainment strikes).</w:t>
      </w:r>
    </w:p>
    <w:p>
      <w:pPr>
        <w:numPr>
          <w:ilvl w:val="0"/>
          <w:numId w:val="1001"/>
        </w:numPr>
        <w:pStyle w:val="Compact"/>
      </w:pPr>
      <w:r>
        <w:t xml:space="preserve">Digital Integration:Utilizing CRM systems and AI-driven analytics to predict client needs.</w:t>
      </w:r>
    </w:p>
    <w:p>
      <w:pPr>
        <w:numPr>
          <w:ilvl w:val="0"/>
          <w:numId w:val="1001"/>
        </w:numPr>
        <w:pStyle w:val="Compact"/>
      </w:pPr>
      <w:r>
        <w:t xml:space="preserve">Risk Compliance:Ensuring adherence to strict federal regulations while managing local municipal codes in</w:t>
      </w:r>
      <w:r>
        <w:t xml:space="preserve"> </w:t>
      </w:r>
      <w:hyperlink w:anchor="Xa39a3ee5e6b4b0d3255bfef95601890afd80709">
        <w:r>
          <w:rPr>
            <w:rStyle w:val="Hyperlink"/>
          </w:rPr>
          <w:t xml:space="preserve">Los Angeles</w:t>
        </w:r>
      </w:hyperlink>
      <w:r>
        <w:t xml:space="preserve">.</w:t>
      </w:r>
    </w:p>
    <w:p>
      <w:pPr>
        <w:pStyle w:val="FirstParagraph"/>
      </w:pPr>
      <w:r>
        <w:t xml:space="preserve">BankerThe operational environment for a</w:t>
      </w:r>
      <w:r>
        <w:t xml:space="preserve"> </w:t>
      </w:r>
      <w:r>
        <w:rPr>
          <w:bCs/>
          <w:b/>
        </w:rPr>
        <w:t xml:space="preserve">Banker</w:t>
      </w:r>
      <w:r>
        <w:t xml:space="preserve"> </w:t>
      </w:r>
      <w:r>
        <w:t xml:space="preserve">in</w:t>
      </w:r>
      <w:r>
        <w:t xml:space="preserve"> </w:t>
      </w:r>
      <w:hyperlink w:anchor="Xa39a3ee5e6b4b0d3255bfef95601890afd80709">
        <w:r>
          <w:rPr>
            <w:rStyle w:val="Hyperlink"/>
          </w:rPr>
          <w:t xml:space="preserve">United States Los Angeles</w:t>
        </w:r>
      </w:hyperlink>
      <w:r>
        <w:t xml:space="preserve"> </w:t>
      </w:r>
      <w:r>
        <w:t xml:space="preserve">is fraught with specific challenges that require nuanced solutions.</w:t>
      </w:r>
    </w:p>
    <w:p>
      <w:pPr>
        <w:pStyle w:val="BodyText"/>
      </w:pPr>
      <w:r>
        <w:t xml:space="preserve">A significant portion of the local economy relies on the entertainment and media sectors. A</w:t>
      </w:r>
      <w:r>
        <w:t xml:space="preserve"> </w:t>
      </w:r>
      <w:r>
        <w:rPr>
          <w:bCs/>
          <w:b/>
        </w:rPr>
        <w:t xml:space="preserve">Banker</w:t>
      </w:r>
      <w:r>
        <w:t xml:space="preserve"> </w:t>
      </w:r>
      <w:r>
        <w:t xml:space="preserve">servicing these clients faces unique risks related to project-based income, variable cash flows, and intellectual property valuation. Unlike traditional manufacturing or retail businesses, entertainment projects can yield massive returns or total losses quickly. Therefore, a</w:t>
      </w:r>
      <w:r>
        <w:t xml:space="preserve"> </w:t>
      </w:r>
      <w:r>
        <w:rPr>
          <w:bCs/>
          <w:b/>
        </w:rPr>
        <w:t xml:space="preserve">Banker</w:t>
      </w:r>
      <w:r>
        <w:t xml:space="preserve"> </w:t>
      </w:r>
      <w:r>
        <w:t xml:space="preserve">must be adept at structuring flexible lending products that account for the irregular nature of creative industry revenues.</w:t>
      </w:r>
    </w:p>
    <w:p>
      <w:pPr>
        <w:pStyle w:val="BodyText"/>
      </w:pPr>
      <w:r>
        <w:t xml:space="preserve">United States Los Angeles</w:t>
      </w:r>
      <w:r>
        <w:br/>
      </w:r>
      <w:r>
        <w:t xml:space="preserve">The regulatory framework governing banking in the</w:t>
      </w:r>
      <w:r>
        <w:t xml:space="preserve"> </w:t>
      </w:r>
      <w:hyperlink w:anchor="Xa39a3ee5e6b4b0d3255bfef95601890afd80709">
        <w:r>
          <w:rPr>
            <w:rStyle w:val="Hyperlink"/>
          </w:rPr>
          <w:t xml:space="preserve">United States Los Angeles</w:t>
        </w:r>
      </w:hyperlink>
      <w:r>
        <w:t xml:space="preserve"> </w:t>
      </w:r>
      <w:r>
        <w:t xml:space="preserve">region is a dual-layered system involving federal oversight (OCC, FDIC) and state-specific regulations from California, as well as municipal ordinances. A</w:t>
      </w:r>
      <w:r>
        <w:t xml:space="preserve"> </w:t>
      </w:r>
      <w:r>
        <w:rPr>
          <w:bCs/>
          <w:b/>
        </w:rPr>
        <w:t xml:space="preserve">Banker</w:t>
      </w:r>
      <w:r>
        <w:t xml:space="preserve"> </w:t>
      </w:r>
      <w:r>
        <w:t xml:space="preserve">must maintain rigorous compliance standards. For instance, environmental regulations affecting commercial real estate loans in</w:t>
      </w:r>
      <w:r>
        <w:t xml:space="preserve"> </w:t>
      </w:r>
      <w:hyperlink w:anchor="Xa39a3ee5e6b4b0d3255bfef95601890afd80709">
        <w:r>
          <w:rPr>
            <w:rStyle w:val="Hyperlink"/>
          </w:rPr>
          <w:t xml:space="preserve">Los Angeles</w:t>
        </w:r>
      </w:hyperlink>
      <w:r>
        <w:t xml:space="preserve"> </w:t>
      </w:r>
      <w:r>
        <w:t xml:space="preserve">require specialized knowledge that a generic banker might lack. Failure to navigate these specific local laws can result in significant legal and financial repercussions.</w:t>
      </w:r>
    </w:p>
    <w:p>
      <w:pPr>
        <w:pStyle w:val="BodyText"/>
      </w:pPr>
      <w:r>
        <w:t xml:space="preserve">The demand for skilled</w:t>
      </w:r>
      <w:r>
        <w:t xml:space="preserve"> </w:t>
      </w:r>
      <w:r>
        <w:rPr>
          <w:bCs/>
          <w:b/>
        </w:rPr>
        <w:t xml:space="preserve">Banker</w:t>
      </w:r>
      <w:r>
        <w:t xml:space="preserve">s in</w:t>
      </w:r>
      <w:r>
        <w:t xml:space="preserve"> </w:t>
      </w:r>
      <w:hyperlink w:anchor="Xa39a3ee5e6b4b0d3255bfef95601890afd80709">
        <w:r>
          <w:rPr>
            <w:rStyle w:val="Hyperlink"/>
          </w:rPr>
          <w:t xml:space="preserve">Los Angeles</w:t>
        </w:r>
      </w:hyperlink>
      <w:r>
        <w:t xml:space="preserve"> </w:t>
      </w:r>
      <w:r>
        <w:t xml:space="preserve">is intense, driven by both traditional banks and emerging neobanks. Retaining top talent requires a culture that values continuous education and ethical practice. This case study notes that institutions which fail to invest in the professional development of their</w:t>
      </w:r>
      <w:r>
        <w:t xml:space="preserve"> </w:t>
      </w:r>
      <w:r>
        <w:rPr>
          <w:bCs/>
          <w:b/>
        </w:rPr>
        <w:t xml:space="preserve">Banker</w:t>
      </w:r>
      <w:r>
        <w:t xml:space="preserve">s often see higher turnover rates, leading to a loss of institutional knowledge and client trust.</w:t>
      </w:r>
    </w:p>
    <w:p>
      <w:pPr>
        <w:pStyle w:val="BodyText"/>
      </w:pPr>
      <w:r>
        <w:t xml:space="preserve">Bankers in</w:t>
      </w:r>
      <w:r>
        <w:t xml:space="preserve"> </w:t>
      </w:r>
      <w:hyperlink w:anchor="Xa39a3ee5e6b4b0d3255bfef95601890afd80709">
        <w:r>
          <w:rPr>
            <w:rStyle w:val="Hyperlink"/>
          </w:rPr>
          <w:t xml:space="preserve">United States Los Angeles</w:t>
        </w:r>
      </w:hyperlink>
      <w:r>
        <w:t xml:space="preserve">.</w:t>
      </w:r>
    </w:p>
    <w:p>
      <w:pPr>
        <w:numPr>
          <w:ilvl w:val="0"/>
          <w:numId w:val="1002"/>
        </w:numPr>
        <w:pStyle w:val="Compact"/>
      </w:pPr>
      <w:r>
        <w:rPr>
          <w:bCs/>
          <w:b/>
        </w:rPr>
        <w:t xml:space="preserve">Hyper-Local Specialization:</w:t>
      </w:r>
      <w:r>
        <w:t xml:space="preserve">Banks are encouraging their</w:t>
      </w:r>
    </w:p>
    <w:p>
      <w:pPr>
        <w:numPr>
          <w:ilvl w:val="0"/>
          <w:numId w:val="1000"/>
        </w:numPr>
        <w:pStyle w:val="Compact"/>
      </w:pPr>
      <w:r>
        <w:t xml:space="preserve">Bankers to specialize in specific neighborhoods or industries. For example, a</w:t>
      </w:r>
      <w:r>
        <w:t xml:space="preserve"> </w:t>
      </w:r>
      <w:r>
        <w:rPr>
          <w:iCs/>
          <w:i/>
        </w:rPr>
        <w:t xml:space="preserve">Banker</w:t>
      </w:r>
      <w:r>
        <w:t xml:space="preserve"> </w:t>
      </w:r>
      <w:r>
        <w:t xml:space="preserve">focusing on the Arts District may develop deep expertise in arts-based financing and gallery loans, creating a barrier to entry for competitors.</w:t>
      </w:r>
    </w:p>
    <w:p>
      <w:pPr>
        <w:numPr>
          <w:ilvl w:val="0"/>
          <w:numId w:val="1002"/>
        </w:numPr>
        <w:pStyle w:val="Compact"/>
      </w:pPr>
      <w:r>
        <w:rPr>
          <w:bCs/>
          <w:b/>
        </w:rPr>
        <w:t xml:space="preserve">Digital-First Hybrid Models:</w:t>
      </w:r>
      <w:r>
        <w:t xml:space="preserve">The most effective</w:t>
      </w:r>
    </w:p>
    <w:p>
      <w:pPr>
        <w:numPr>
          <w:ilvl w:val="0"/>
          <w:numId w:val="1000"/>
        </w:numPr>
        <w:pStyle w:val="Compact"/>
      </w:pPr>
      <w:r>
        <w:t xml:space="preserve">Bankers in</w:t>
      </w:r>
      <w:r>
        <w:t xml:space="preserve"> </w:t>
      </w:r>
      <w:hyperlink w:anchor="Xa39a3ee5e6b4b0d3255bfef95601890afd80709">
        <w:r>
          <w:rPr>
            <w:rStyle w:val="Hyperlink"/>
          </w:rPr>
          <w:t xml:space="preserve">Los Angeles</w:t>
        </w:r>
      </w:hyperlink>
      <w:r>
        <w:t xml:space="preserve"> </w:t>
      </w:r>
      <w:r>
        <w:t xml:space="preserve">utilize digital platforms for initial data gathering and routine transactions, reserving face-to-face interactions for high-value negotiations. This hybrid approach maximizes efficiency while preserving the relationship-centric nature of banking.</w:t>
      </w:r>
    </w:p>
    <w:p>
      <w:pPr>
        <w:numPr>
          <w:ilvl w:val="0"/>
          <w:numId w:val="1002"/>
        </w:numPr>
        <w:pStyle w:val="Compact"/>
      </w:pPr>
      <w:r>
        <w:rPr>
          <w:bCs/>
          <w:b/>
        </w:rPr>
        <w:t xml:space="preserve">Community Engagement:</w:t>
      </w:r>
      <w:r>
        <w:t xml:space="preserve">In a city as vast and fragmented as</w:t>
      </w:r>
      <w:r>
        <w:t xml:space="preserve"> </w:t>
      </w:r>
      <w:hyperlink w:anchor="Xa39a3ee5e6b4b0d3255bfef95601890afd80709">
        <w:r>
          <w:rPr>
            <w:rStyle w:val="Hyperlink"/>
          </w:rPr>
          <w:t xml:space="preserve">United States Los Angeles</w:t>
        </w:r>
      </w:hyperlink>
      <w:r>
        <w:t xml:space="preserve">, community trust is paramount. Successful</w:t>
      </w:r>
    </w:p>
    <w:p>
      <w:pPr>
        <w:numPr>
          <w:ilvl w:val="0"/>
          <w:numId w:val="1000"/>
        </w:numPr>
        <w:pStyle w:val="Compact"/>
      </w:pPr>
      <w:r>
        <w:t xml:space="preserve">Bankers actively participate in local chambers of commerce, nonprofit boards, and educational initiatives. This visibility reinforces the bank's commitment to the region and builds a pipeline of future clients.</w:t>
      </w:r>
    </w:p>
    <w:p>
      <w:pPr>
        <w:pStyle w:val="FirstParagraph"/>
      </w:pPr>
      <w:r>
        <w:t xml:space="preserve">Los Angeles. A traditional approach might have focused solely on credit scores and collateral value. However, the assigned</w:t>
      </w:r>
      <w:r>
        <w:t xml:space="preserve"> </w:t>
      </w:r>
      <w:r>
        <w:rPr>
          <w:bCs/>
          <w:b/>
        </w:rPr>
        <w:t xml:space="preserve">Banker</w:t>
      </w:r>
      <w:r>
        <w:t xml:space="preserve">, leveraging local market knowledge, identified emerging trends in mixed-use developments that combined residential spaces with creative work studios.</w:t>
      </w:r>
    </w:p>
    <w:p>
      <w:pPr>
        <w:pStyle w:val="BodyText"/>
      </w:pPr>
      <w:r>
        <w:t xml:space="preserve">The</w:t>
      </w:r>
      <w:r>
        <w:t xml:space="preserve"> </w:t>
      </w:r>
      <w:r>
        <w:rPr>
          <w:bCs/>
          <w:b/>
        </w:rPr>
        <w:t xml:space="preserve">Bankerstructured a loan package that included incentives for sustainable building practices (aligned with city regulations) and provided advisory services on tenant mix optimization. This holistic approach not only secured the deal for the bank but also strengthened the relationship with the developer, leading to three subsequent projects over five years. This example illustrates how a</w:t>
      </w:r>
      <w:r>
        <w:rPr>
          <w:bCs/>
          <w:b/>
        </w:rPr>
        <w:t xml:space="preserve"> </w:t>
      </w:r>
      <w:r>
        <w:rPr>
          <w:bCs/>
          <w:b/>
          <w:bCs/>
          <w:b/>
        </w:rPr>
        <w:t xml:space="preserve">Banker's ability to act as a consultant rather than just a lender creates value in</w:t>
      </w:r>
      <w:r>
        <w:rPr>
          <w:bCs/>
          <w:b/>
          <w:bCs/>
          <w:b/>
        </w:rPr>
        <w:t xml:space="preserve"> </w:t>
      </w:r>
      <w:hyperlink w:anchor="Xa39a3ee5e6b4b0d3255bfef95601890afd80709">
        <w:r>
          <w:rPr>
            <w:rStyle w:val="Hyperlink"/>
            <w:bCs/>
            <w:b/>
            <w:bCs/>
            <w:b/>
          </w:rPr>
          <w:t xml:space="preserve">United States Los Angeles</w:t>
        </w:r>
      </w:hyperlink>
      <w:r>
        <w:rPr>
          <w:bCs/>
          <w:b/>
          <w:bCs/>
          <w:b/>
        </w:rPr>
        <w:t xml:space="preserve">.</w:t>
      </w:r>
    </w:p>
    <w:p>
      <w:pPr>
        <w:pStyle w:val="BodyText"/>
      </w:pPr>
      <w:r>
        <w:t xml:space="preserve">Metric</w:t>
      </w:r>
    </w:p>
    <w:p>
      <w:pPr>
        <w:pStyle w:val="BodyText"/>
      </w:pPr>
      <w:r>
        <w:t xml:space="preserve">Traditional</w:t>
      </w:r>
      <w:r>
        <w:t xml:space="preserve"> </w:t>
      </w:r>
      <w:r>
        <w:rPr>
          <w:bCs/>
          <w:b/>
        </w:rPr>
        <w:t xml:space="preserve">Banker</w:t>
      </w:r>
      <w:r>
        <w:t xml:space="preserve"> </w:t>
      </w:r>
      <w:r>
        <w:t xml:space="preserve">Model</w:t>
      </w:r>
    </w:p>
    <w:p>
      <w:pPr>
        <w:pStyle w:val="BodyText"/>
      </w:pPr>
      <w:r>
        <w:t xml:space="preserve">Adapted</w:t>
      </w:r>
      <w:r>
        <w:t xml:space="preserve"> </w:t>
      </w:r>
      <w:r>
        <w:rPr>
          <w:bCs/>
          <w:b/>
        </w:rPr>
        <w:t xml:space="preserve">Banker</w:t>
      </w:r>
      <w:r>
        <w:t xml:space="preserve"> </w:t>
      </w:r>
      <w:r>
        <w:t xml:space="preserve">(United States Los Angeles Focus)</w:t>
      </w:r>
    </w:p>
    <w:p>
      <w:pPr>
        <w:pStyle w:val="BodyText"/>
      </w:pPr>
      <w:r>
        <w:t xml:space="preserve">Cross-Sell Ratio</w:t>
      </w:r>
    </w:p>
    <w:p>
      <w:pPr>
        <w:pStyle w:val="BodyText"/>
      </w:pPr>
      <w:r>
        <w:t xml:space="preserve">Client Retention Rate (Annual)</w:t>
      </w:r>
    </w:p>
    <w:p>
      <w:pPr>
        <w:pStyle w:val="BodyText"/>
      </w:pPr>
      <w:r>
        <w:t xml:space="preserve">Loan Default Rate (Commercial)</w:t>
      </w:r>
      <w:r>
        <w:br/>
      </w:r>
      <w:r>
        <w:t xml:space="preserve">/tbody</w:t>
      </w:r>
    </w:p>
    <w:p>
      <w:pPr>
        <w:pStyle w:val="BodyText"/>
      </w:pPr>
      <w:r>
        <w:t xml:space="preserve">The data indicates that when a</w:t>
      </w:r>
      <w:r>
        <w:t xml:space="preserve"> </w:t>
      </w:r>
      <w:r>
        <w:rPr>
          <w:bCs/>
          <w:b/>
        </w:rPr>
        <w:t xml:space="preserve">Bankerfocusing on the specific needs of</w:t>
      </w:r>
      <w:r>
        <w:rPr>
          <w:bCs/>
          <w:b/>
        </w:rPr>
        <w:t xml:space="preserve"> </w:t>
      </w:r>
      <w:hyperlink w:anchor="Xa39a3ee5e6b4b0d3255bfef95601890afd80709">
        <w:r>
          <w:rPr>
            <w:rStyle w:val="Hyperlink"/>
            <w:bCs/>
            <w:b/>
          </w:rPr>
          <w:t xml:space="preserve">United States Los Angeles</w:t>
        </w:r>
      </w:hyperlink>
      <w:r>
        <w:rPr>
          <w:bCs/>
          <w:b/>
        </w:rPr>
        <w:t xml:space="preserve">, client loyalty increases significantly, leading to higher lifetime value and lower risk exposure.</w:t>
      </w:r>
      <w:r>
        <w:rPr>
          <w:bCs/>
          <w:b/>
        </w:rPr>
        <w:t xml:space="preserve"> </w:t>
      </w:r>
      <w:r>
        <w:rPr>
          <w:bCs/>
          <w:b/>
        </w:rPr>
        <w:t xml:space="preserve">Banker</w:t>
      </w:r>
      <w:hyperlink w:anchor="Xa39a3ee5e6b4b0d3255bfef95601890afd80709">
        <w:r>
          <w:rPr>
            <w:rStyle w:val="Hyperlink"/>
            <w:bCs/>
            <w:b/>
          </w:rPr>
          <w:t xml:space="preserve">United States Los Angeles</w:t>
        </w:r>
        <w:r>
          <w:rPr>
            <w:rStyle w:val="Hyperlink"/>
            <w:bCs/>
            <w:b/>
            <w:bCs/>
            <w:b/>
          </w:rPr>
          <w:t xml:space="preserve">Banker</w:t>
        </w:r>
        <w:r>
          <w:rPr>
            <w:rStyle w:val="Hyperlink"/>
            <w:bCs/>
            <w:b/>
          </w:rPr>
          <w:t xml:space="preserve"> </w:t>
        </w:r>
        <w:r>
          <w:rPr>
            <w:rStyle w:val="Hyperlink"/>
            <w:bCs/>
            <w:b/>
          </w:rPr>
          <w:t xml:space="preserve">succeed in this market. It is no longer sufficient to rely on brand reputation alone; the individual</w:t>
        </w:r>
        <w:r>
          <w:rPr>
            <w:rStyle w:val="Hyperlink"/>
            <w:bCs/>
            <w:b/>
          </w:rPr>
          <w:t xml:space="preserve"> </w:t>
        </w:r>
        <w:r>
          <w:rPr>
            <w:rStyle w:val="Hyperlink"/>
            <w:iCs/>
            <w:i/>
            <w:bCs/>
            <w:b/>
          </w:rPr>
          <w:t xml:space="preserve">Banker</w:t>
        </w:r>
        <w:r>
          <w:rPr>
            <w:rStyle w:val="Hyperlink"/>
            <w:bCs/>
            <w:b/>
          </w:rPr>
          <w:t xml:space="preserve"> </w:t>
        </w:r>
        <w:r>
          <w:rPr>
            <w:rStyle w:val="Hyperlink"/>
            <w:bCs/>
            <w:b/>
          </w:rPr>
          <w:t xml:space="preserve">must possess local expertise, technological fluency, and a deep understanding of the diverse economic sectors that drive</w:t>
        </w:r>
      </w:hyperlink>
      <w:r>
        <w:rPr>
          <w:bCs/>
          <w:b/>
        </w:rPr>
        <w:t xml:space="preserve"> </w:t>
      </w:r>
      <w:hyperlink w:anchor="Xa39a3ee5e6b4b0d3255bfef95601890afd80709">
        <w:r>
          <w:rPr>
            <w:rStyle w:val="Hyperlink"/>
            <w:bCs/>
            <w:b/>
          </w:rPr>
          <w:t xml:space="preserve">Los Angeles</w:t>
        </w:r>
      </w:hyperlink>
      <w:r>
        <w:rPr>
          <w:bCs/>
          <w:b/>
        </w:rPr>
        <w:t xml:space="preserve">. As the financial landscape continues to evolve, those who prioritize these elements will define the future of banking in this vibrant region. The case study concludes that investment in specialized training for</w:t>
      </w:r>
      <w:r>
        <w:rPr>
          <w:bCs/>
          <w:b/>
        </w:rPr>
        <w:t xml:space="preserve"> </w:t>
      </w:r>
      <w:r>
        <w:rPr>
          <w:bCs/>
          <w:b/>
          <w:bCs/>
          <w:b/>
        </w:rPr>
        <w:t xml:space="preserve">Banker</w:t>
      </w:r>
      <w:r>
        <w:rPr>
          <w:bCs/>
          <w:b/>
        </w:rPr>
        <w:t xml:space="preserve"> </w:t>
      </w:r>
      <w:r>
        <w:rPr>
          <w:bCs/>
          <w:b/>
        </w:rPr>
        <w:t xml:space="preserve">s is not merely an operational cost but a strategic imperative for long-term viability in</w:t>
      </w:r>
      <w:r>
        <w:rPr>
          <w:bCs/>
          <w:b/>
        </w:rPr>
        <w:t xml:space="preserve"> </w:t>
      </w:r>
      <w:hyperlink w:anchor="Xa39a3ee5e6b4b0d3255bfef95601890afd80709">
        <w:r>
          <w:rPr>
            <w:rStyle w:val="Hyperlink"/>
            <w:bCs/>
            <w:b/>
          </w:rPr>
          <w:t xml:space="preserve">United States Los Angeles</w:t>
        </w:r>
      </w:hyperlink>
      <w:r>
        <w:rPr>
          <w:bCs/>
          <w:b/>
        </w:rPr>
        <w:t xml:space="preserve">.</w:t>
      </w:r>
      <w:r>
        <w:rPr>
          <w:bCs/>
          <w:b/>
        </w:rPr>
        <w:t xml:space="preserve"> </w:t>
      </w:r>
      <w:r>
        <w:rPr>
          <w:bCs/>
          <w:b/>
        </w:rPr>
        <w:t xml:space="preserve">United States Los Angeles</w:t>
      </w:r>
      <w:r>
        <w:t xml:space="preserve">Banker s training programs to include modules on local economic trends, cultural competency, and digital tool integration. Furthermore, performance metrics should be adjusted to reward relationship longevity and cross-sector advisory services rather than short-term transactional volume.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Banker in United States Los Angeles</dc:title>
  <dc:creator/>
  <dc:language>en</dc:language>
  <cp:keywords/>
  <dcterms:created xsi:type="dcterms:W3CDTF">2026-07-29T20:31:52Z</dcterms:created>
  <dcterms:modified xsi:type="dcterms:W3CDTF">2026-07-29T20:31:52Z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