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Banking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case-study-case-study"/>
    <w:p>
      <w:pPr>
        <w:pStyle w:val="Heading1"/>
      </w:pPr>
      <w:r>
        <w:t xml:space="preserve">Case Study Case Study</w:t>
      </w:r>
    </w:p>
    <w:p>
      <w:pPr>
        <w:pStyle w:val="FirstParagraph"/>
      </w:pPr>
      <w:r>
        <w:rPr>
          <w:bCs/>
          <w:b/>
        </w:rPr>
        <w:t xml:space="preserve">Title:</w:t>
      </w:r>
    </w:p>
    <w:p>
      <w:pPr>
        <w:pStyle w:val="BodyText"/>
      </w:pPr>
      <w:r>
        <w:br/>
      </w:r>
    </w:p>
    <w:p>
      <w:pPr>
        <w:pStyle w:val="BodyText"/>
      </w:pPr>
      <w:r>
        <w:rPr>
          <w:iCs/>
          <w:i/>
        </w:rPr>
        <w:t xml:space="preserve">The Role of the Banker in Navigating Complex Financial Landscapes: A United States Miami Perspective.</w:t>
      </w:r>
    </w:p>
    <w:p>
      <w:pPr>
        <w:pStyle w:val="BodyText"/>
      </w:pPr>
      <w:r>
        <w:br/>
      </w:r>
    </w:p>
    <w:bookmarkStart w:id="20" w:name="executive-summary"/>
    <w:p>
      <w:pPr>
        <w:pStyle w:val="Heading2"/>
      </w:pPr>
      <w:r>
        <w:t xml:space="preserve">Executive Summary</w:t>
      </w:r>
    </w:p>
    <w:p>
      <w:pPr>
        <w:pStyle w:val="FirstParagraph"/>
      </w:pPr>
      <w:r>
        <w:t xml:space="preserve">This document presents a comprehensive Case Study focusing on the evolving responsibilities and strategic importance of the Banker within the dynamic economic environment of United States Miami. As a global gateway for trade, finance, and tourism, United States Miami serves as a unique microcosm of international banking challenges. In this context, the modern Banker is no longer merely a custodian of deposits but acts as a critical advisor in wealth preservation, cross-border transactions, and sustainable development. This Case Study explores how the professional conduct of the Banker impacts client relationships and institutional stability in one of the most competitive markets in United States Miami.</w:t>
      </w:r>
    </w:p>
    <w:bookmarkEnd w:id="20"/>
    <w:bookmarkStart w:id="21" w:name="X53f6e787a9bf74a55d90f06e91d8346983fb6b5"/>
    <w:p>
      <w:pPr>
        <w:pStyle w:val="Heading2"/>
      </w:pPr>
      <w:r>
        <w:t xml:space="preserve">1. Introduction: The United States Miami Context</w:t>
      </w:r>
    </w:p>
    <w:p>
      <w:pPr>
        <w:pStyle w:val="FirstParagraph"/>
      </w:pPr>
      <w:r>
        <w:t xml:space="preserve">Miami, Florida, stands as a pivotal hub for Latin American and Caribbean commerce within the United States. Its strategic geographic location has transformed it into a primary entry point for foreign direct investment flowing into North America. For any financial institution operating in this region, understanding the local nuances is not optional; it is essential.</w:t>
      </w:r>
    </w:p>
    <w:p>
      <w:pPr>
        <w:pStyle w:val="BodyText"/>
      </w:pPr>
      <w:r>
        <w:t xml:space="preserve">In this Case Study, we examine the specific demands placed on the Banker by a diverse clientele that includes high-net-worth individuals (HNWIs), emerging entrepreneurs from South America, and international corporate entities. The United States Miami market is characterized by its bilingual nature, cultural diversity, and regulatory complexity. Consequently, the traditional definition of a Banker must be expanded to include roles as a cultural liaison, a compliance expert, and a strategic wealth manager.</w:t>
      </w:r>
    </w:p>
    <w:bookmarkEnd w:id="21"/>
    <w:bookmarkStart w:id="22" w:name="profile-the-modern-banker"/>
    <w:p>
      <w:pPr>
        <w:pStyle w:val="Heading2"/>
      </w:pPr>
      <w:r>
        <w:t xml:space="preserve">2. Profile: The Modern Banker</w:t>
      </w:r>
    </w:p>
    <w:p>
      <w:pPr>
        <w:pStyle w:val="FirstParagraph"/>
      </w:pPr>
      <w:r>
        <w:t xml:space="preserve">The central figure of this Case Study is the Senior Relationship Manager, herein referred to simply as "the Banker." This individual represents a mid-sized regional bank with significant branches in United States Miami. The Banker’s primary objective is to retain and grow assets for international clients while ensuring strict adherence to federal and state regulations.</w:t>
      </w:r>
    </w:p>
    <w:p>
      <w:pPr>
        <w:pStyle w:val="BodyText"/>
      </w:pPr>
      <w:r>
        <w:t xml:space="preserve">The qualifications required of the Banker in this context are rigorous. They must possess:</w:t>
      </w:r>
    </w:p>
    <w:p>
      <w:pPr>
        <w:numPr>
          <w:ilvl w:val="0"/>
          <w:numId w:val="1001"/>
        </w:numPr>
        <w:pStyle w:val="Compact"/>
      </w:pPr>
      <w:r>
        <w:rPr>
          <w:bCs/>
          <w:b/>
        </w:rPr>
        <w:t xml:space="preserve">Cultural Competency:</w:t>
      </w:r>
      <w:r>
        <w:t xml:space="preserve"> </w:t>
      </w:r>
      <w:r>
        <w:t xml:space="preserve">The ability to navigate conversations across Spanish, Portuguese, and English dialects common in United States Miami.</w:t>
      </w:r>
    </w:p>
    <w:p>
      <w:pPr>
        <w:numPr>
          <w:ilvl w:val="0"/>
          <w:numId w:val="1001"/>
        </w:numPr>
        <w:pStyle w:val="Compact"/>
      </w:pPr>
      <w:r>
        <w:rPr>
          <w:bCs/>
          <w:b/>
        </w:rPr>
        <w:t xml:space="preserve">Risk Assessment Skills:</w:t>
      </w:r>
      <w:r>
        <w:t xml:space="preserve"> </w:t>
      </w:r>
      <w:r>
        <w:t xml:space="preserve">Understanding the geopolitical risks associated with investments originating from or destined for Latin America.</w:t>
      </w:r>
    </w:p>
    <w:p>
      <w:pPr>
        <w:numPr>
          <w:ilvl w:val="0"/>
          <w:numId w:val="1001"/>
        </w:numPr>
        <w:pStyle w:val="Compact"/>
      </w:pPr>
      <w:r>
        <w:rPr>
          <w:bCs/>
          <w:b/>
        </w:rPr>
        <w:t xml:space="preserve">Liquidity Management Expertise:</w:t>
      </w:r>
      <w:r>
        <w:t xml:space="preserve"> </w:t>
      </w:r>
      <w:r>
        <w:t xml:space="preserve">Providing seamless solutions for clients who require rapid capital movement across borders.</w:t>
      </w:r>
    </w:p>
    <w:bookmarkEnd w:id="22"/>
    <w:bookmarkStart w:id="23" w:name="X4f5cd27b0b0fd65f03a0c374e7a85b7c3e69b18"/>
    <w:p>
      <w:pPr>
        <w:pStyle w:val="Heading2"/>
      </w:pPr>
      <w:r>
        <w:t xml:space="preserve">3. Challenge: Navigating Regulatory and Market Pressures</w:t>
      </w:r>
    </w:p>
    <w:p>
      <w:pPr>
        <w:pStyle w:val="FirstParagraph"/>
      </w:pPr>
      <w:r>
        <w:t xml:space="preserve">The Case Study highlights a specific scenario involving a long-term client, "AgroTrade S.A.," a family-owned enterprise based in Argentina seeking to expand its supply chain through United States Miami. The primary challenge for the Banker was twofold:</w:t>
      </w:r>
    </w:p>
    <w:p>
      <w:pPr>
        <w:numPr>
          <w:ilvl w:val="0"/>
          <w:numId w:val="1002"/>
        </w:numPr>
        <w:pStyle w:val="Compact"/>
      </w:pPr>
      <w:r>
        <w:rPr>
          <w:bCs/>
          <w:b/>
        </w:rPr>
        <w:t xml:space="preserve">Compliance and Anti-Money Laundering (AML):</w:t>
      </w:r>
      <w:r>
        <w:t xml:space="preserve"> </w:t>
      </w:r>
      <w:r>
        <w:t xml:space="preserve">United States Miami banks face intense scrutiny regarding AML protocols. The Banker had to conduct enhanced due diligence to ensure that AgroTrade’s funds were legitimate, avoiding the pitfalls of sanctions evasion common in complex international trade structures.</w:t>
      </w:r>
    </w:p>
    <w:p>
      <w:pPr>
        <w:numPr>
          <w:ilvl w:val="0"/>
          <w:numId w:val="1002"/>
        </w:numPr>
        <w:pStyle w:val="Compact"/>
      </w:pPr>
      <w:r>
        <w:rPr>
          <w:bCs/>
          <w:b/>
        </w:rPr>
        <w:t xml:space="preserve">Market Volatility:</w:t>
      </w:r>
      <w:r>
        <w:t xml:space="preserve"> </w:t>
      </w:r>
      <w:r>
        <w:t xml:space="preserve">Fluctuating currency values between the Argentine Peso and the US Dollar threatened the viability of AgroTrade’s expansion plans. The Banker needed to structure a hedging strategy that protected margins without exposing the client to excessive derivative risks.</w:t>
      </w:r>
    </w:p>
    <w:p>
      <w:pPr>
        <w:pStyle w:val="FirstParagraph"/>
      </w:pPr>
      <w:r>
        <w:t xml:space="preserve">This Case Study illustrates that in United States Miami, the Banker operates at the intersection of law and commerce. A misstep by the Banker could result not only in financial loss for the client but also severe reputational damage for their institution.</w:t>
      </w:r>
    </w:p>
    <w:bookmarkEnd w:id="23"/>
    <w:bookmarkStart w:id="27" w:name="strategy-the-bankers-intervention"/>
    <w:p>
      <w:pPr>
        <w:pStyle w:val="Heading2"/>
      </w:pPr>
      <w:r>
        <w:t xml:space="preserve">4. Strategy: The Banker’s Intervention</w:t>
      </w:r>
    </w:p>
    <w:p>
      <w:pPr>
        <w:pStyle w:val="FirstParagraph"/>
      </w:pPr>
      <w:r>
        <w:t xml:space="preserve">To address these challenges, the Banker implemented a multi-phase strategy tailored to the United States Miami operational model:</w:t>
      </w:r>
    </w:p>
    <w:bookmarkStart w:id="24" w:name="a.-enhanced-due-diligence-edd"/>
    <w:p>
      <w:pPr>
        <w:pStyle w:val="Heading3"/>
      </w:pPr>
      <w:r>
        <w:rPr>
          <w:bCs/>
          <w:b/>
        </w:rPr>
        <w:t xml:space="preserve">A. Enhanced Due Diligence (EDD)</w:t>
      </w:r>
    </w:p>
    <w:p>
      <w:pPr>
        <w:pStyle w:val="FirstParagraph"/>
      </w:pPr>
      <w:r>
        <w:t xml:space="preserve">The Banker initiated a thorough review of AgroTrade’s ownership structure and source of funds. By leveraging local legal experts in United States Miami, the Banker verified that all entities were transparently registered, thereby satisfying the stringent requirements of United States federal banking regulators.</w:t>
      </w:r>
    </w:p>
    <w:bookmarkEnd w:id="24"/>
    <w:bookmarkStart w:id="25" w:name="b.-cross-border-liquidity-solutions"/>
    <w:p>
      <w:pPr>
        <w:pStyle w:val="Heading3"/>
      </w:pPr>
      <w:r>
        <w:rPr>
          <w:bCs/>
          <w:b/>
        </w:rPr>
        <w:t xml:space="preserve">B. Cross-Border Liquidity Solutions</w:t>
      </w:r>
    </w:p>
    <w:p>
      <w:pPr>
        <w:pStyle w:val="FirstParagraph"/>
      </w:pPr>
      <w:r>
        <w:t xml:space="preserve">The Banker structured a multi-currency account facility. This allowed AgroTrade to hold funds in USD while managing operational expenses in local currencies. The Banker negotiated favorable exchange rates by utilizing the bank’s correspondent banking relationships, demonstrating value beyond simple interest rate offers.</w:t>
      </w:r>
    </w:p>
    <w:bookmarkEnd w:id="25"/>
    <w:bookmarkStart w:id="26" w:name="c.-advisory-role"/>
    <w:p>
      <w:pPr>
        <w:pStyle w:val="Heading3"/>
      </w:pPr>
      <w:r>
        <w:rPr>
          <w:bCs/>
          <w:b/>
        </w:rPr>
        <w:t xml:space="preserve">C. Advisory Role</w:t>
      </w:r>
    </w:p>
    <w:p>
      <w:pPr>
        <w:pStyle w:val="FirstParagraph"/>
      </w:pPr>
      <w:r>
        <w:t xml:space="preserve">Beyond transactional services, the Banker acted as a consultant on tax implications specific to United States Miami laws versus Argentine regulations. This advisory role cemented trust, positioning the Banker as a partner rather than just a vendor.</w:t>
      </w:r>
    </w:p>
    <w:bookmarkEnd w:id="26"/>
    <w:bookmarkEnd w:id="27"/>
    <w:bookmarkStart w:id="28" w:name="results-impact-on-client-and-institution"/>
    <w:p>
      <w:pPr>
        <w:pStyle w:val="Heading2"/>
      </w:pPr>
      <w:r>
        <w:t xml:space="preserve">5. Results: Impact on Client and Institution</w:t>
      </w:r>
    </w:p>
    <w:p>
      <w:pPr>
        <w:pStyle w:val="FirstParagraph"/>
      </w:pPr>
      <w:r>
        <w:t xml:space="preserve">The outcomes of this Case Study demonstrate the tangible benefits of an engaged and knowledgeable Banker:</w:t>
      </w:r>
    </w:p>
    <w:p>
      <w:pPr>
        <w:numPr>
          <w:ilvl w:val="0"/>
          <w:numId w:val="1003"/>
        </w:numPr>
        <w:pStyle w:val="Compact"/>
      </w:pPr>
      <w:r>
        <w:rPr>
          <w:bCs/>
          <w:b/>
        </w:rPr>
        <w:t xml:space="preserve">Risk Mitigation:</w:t>
      </w:r>
      <w:r>
        <w:t xml:space="preserve"> </w:t>
      </w:r>
      <w:r>
        <w:t xml:space="preserve">The rigorous compliance checks performed by the Banker prevented potential regulatory flags, ensuring AgroTrade could operate freely within United States Miami.</w:t>
      </w:r>
    </w:p>
    <w:p>
      <w:pPr>
        <w:numPr>
          <w:ilvl w:val="0"/>
          <w:numId w:val="1003"/>
        </w:numPr>
        <w:pStyle w:val="Compact"/>
      </w:pPr>
      <w:r>
        <w:rPr>
          <w:bCs/>
          <w:b/>
        </w:rPr>
        <w:t xml:space="preserve">Revenue Growth:</w:t>
      </w:r>
    </w:p>
    <w:p>
      <w:pPr>
        <w:numPr>
          <w:ilvl w:val="0"/>
          <w:numId w:val="1003"/>
        </w:numPr>
        <w:pStyle w:val="Compact"/>
      </w:pPr>
      <w:r>
        <w:rPr>
          <w:bCs/>
          <w:b/>
        </w:rPr>
        <w:t xml:space="preserve">Institutional Reputation:</w:t>
      </w:r>
      <w:r>
        <w:t xml:space="preserve">The bank in United States Miami gained a reputation for handling complex international cases with precision, attracting similar high-value clients from the region.</w:t>
      </w:r>
    </w:p>
    <w:bookmarkEnd w:id="28"/>
    <w:bookmarkStart w:id="29" w:name="X0b46279ec9883917f4df4cd551fa5eff8803bbc"/>
    <w:p>
      <w:pPr>
        <w:pStyle w:val="Heading2"/>
      </w:pPr>
      <w:r>
        <w:t xml:space="preserve">6. Discussion: The Broader Implications for United States Miami Banking</w:t>
      </w:r>
    </w:p>
    <w:p>
      <w:pPr>
        <w:pStyle w:val="FirstParagraph"/>
      </w:pPr>
      <w:r>
        <w:t xml:space="preserve">This Case Study underscores that in a market as fast-paced as United States Miami, the traditional role of the Banker has fundamentally shifted. It is no longer sufficient to process transactions; the Banker must anticipate geopolitical shifts and economic trends affecting international trade.</w:t>
      </w:r>
    </w:p>
    <w:p>
      <w:pPr>
        <w:pStyle w:val="BodyText"/>
      </w:pPr>
      <w:r>
        <w:t xml:space="preserve">The success observed in this Case Study suggests that banks operating in United States Miami should invest heavily in training their staff to become culturally fluent and technically proficient. The Banker serves as the face of financial integrity for international clients. When the Banker succeeds, they not only protect their institution’s license but also contribute to the economic vitality of United States Miami as a global trade hub.</w:t>
      </w:r>
    </w:p>
    <w:bookmarkEnd w:id="29"/>
    <w:bookmarkStart w:id="30" w:name="conclusion"/>
    <w:p>
      <w:pPr>
        <w:pStyle w:val="Heading2"/>
      </w:pPr>
      <w:r>
        <w:t xml:space="preserve">7. Conclusion</w:t>
      </w:r>
    </w:p>
    <w:p>
      <w:pPr>
        <w:pStyle w:val="FirstParagraph"/>
      </w:pPr>
      <w:r>
        <w:t xml:space="preserve">In conclusion, this Case Study affirms that the Banker is a critical asset in the financial ecosystem of United States Miami. By balancing regulatory compliance with personalized service and strategic advice, the Banker facilitates seamless international commerce. For financial institutions aiming to thrive in United States Miami, empowering their Bankers with advanced tools and comprehensive training is not merely an operational choice—it is a strategic imperative. The future of banking in this vibrant region depends on the ability of each Banker to navigate complexity with clarity and integrity.</w:t>
      </w:r>
    </w:p>
    <w:p>
      <w:pPr>
        <w:pStyle w:val="BodyText"/>
      </w:pPr>
      <w:r>
        <w:rPr>
          <w:bCs/>
          <w:b/>
        </w:rPr>
        <w:t xml:space="preserve">Note:</w:t>
      </w:r>
      <w:r>
        <w:t xml:space="preserve"> </w:t>
      </w:r>
      <w:r>
        <w:t xml:space="preserve">This Case Study is a fictionalized representation intended for educational and illustrative purposes regarding banking practices in United States Miami.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Banking Solutions in United States Miami</dc:title>
  <dc:creator/>
  <dc:language>en</dc:language>
  <cp:keywords/>
  <dcterms:created xsi:type="dcterms:W3CDTF">2026-07-29T09:37:29Z</dcterms:created>
  <dcterms:modified xsi:type="dcterms:W3CDTF">2026-07-29T09:37:29Z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