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4c0f3bdc528533d10bbc8a43cac22d0932b00c4"/>
    <w:p>
      <w:pPr>
        <w:pStyle w:val="Heading1"/>
      </w:pPr>
      <w:r>
        <w:t xml:space="preserve">The Evolution of Trust and Technology: A Case Study on the Contemporary Banker in United States San Francisco</w:t>
      </w:r>
    </w:p>
    <w:p>
      <w:pPr>
        <w:pStyle w:val="FirstParagraph"/>
      </w:pPr>
      <w:r>
        <w:rPr>
          <w:bCs/>
          <w:b/>
        </w:rPr>
        <w:t xml:space="preserve">Date:</w:t>
      </w:r>
      <w:r>
        <w:t xml:space="preserve"> </w:t>
      </w:r>
      <w:r>
        <w:t xml:space="preserve">October 2023</w:t>
      </w:r>
      <w:r>
        <w:br/>
      </w:r>
      <w:r>
        <w:rPr>
          <w:bCs/>
          <w:b/>
        </w:rPr>
        <w:t xml:space="preserve">Jurisdiction:</w:t>
      </w:r>
      <w:r>
        <w:t xml:space="preserve">United States San Francisco</w:t>
      </w:r>
      <w:r>
        <w:br/>
      </w:r>
      <w:r>
        <w:rPr>
          <w:bCs/>
          <w:b/>
        </w:rPr>
        <w:t xml:space="preserve">Focal Subject:</w:t>
      </w:r>
      <w:r>
        <w:t xml:space="preserve">The Role of the Personal and Commercial Banker</w:t>
      </w:r>
      <w:r>
        <w:br/>
      </w:r>
    </w:p>
    <w:bookmarkStart w:id="20" w:name="executive-summary"/>
    <w:p>
      <w:pPr>
        <w:pStyle w:val="Heading2"/>
      </w:pPr>
      <w:r>
        <w:t xml:space="preserve">1. Executive Summary</w:t>
      </w:r>
    </w:p>
    <w:p>
      <w:pPr>
        <w:pStyle w:val="FirstParagraph"/>
      </w:pPr>
      <w:r>
        <w:t xml:space="preserve">This document presents a comprehensive case study analyzing the professional trajectory, operational challenges, and strategic importance of a dedicated banker operating within the dynamic economic landscape of United States San Francisco. As one of the most technologically advanced and financially dense cities in North America, United States San Francisco presents unique opportunities and pressures for financial institutions. This study explores how a modern banker must navigate regulatory compliance, fintech disruption, high-net-worth client expectations, and the shifting demographics of local business enterprises.</w:t>
      </w:r>
    </w:p>
    <w:bookmarkEnd w:id="20"/>
    <w:bookmarkStart w:id="21" w:name="X2702f32b03911219ab5019db9ad400ea356a3d2"/>
    <w:p>
      <w:pPr>
        <w:pStyle w:val="Heading2"/>
      </w:pPr>
      <w:r>
        <w:t xml:space="preserve">2. Contextual Background: The United States San Francisco Landscape</w:t>
      </w:r>
    </w:p>
    <w:p>
      <w:pPr>
        <w:pStyle w:val="FirstParagraph"/>
      </w:pPr>
      <w:r>
        <w:t xml:space="preserve">To understand the specific role of the banker in this region, one must first appreciate the unique micro-economy of United States San Francisco. Historically known for its maritime trade and later as a hub for technology startups, the city has evolved into a complex ecosystem where venture capital, real estate development, and established corporate headquarters coexist.</w:t>
      </w:r>
    </w:p>
    <w:p>
      <w:pPr>
        <w:pStyle w:val="BodyText"/>
      </w:pPr>
      <w:r>
        <w:t xml:space="preserve">In this context, the traditional definition of banking is being rewritten. The presence of major fintech companies headquartered in Silicon Valley directly adjacent to United States San Francisco creates an environment where consumers and businesses are digitally literate at a higher rate than the national average. Consequently, a banker working in United States San Francisco cannot rely solely on institutional trust; they must demonstrate technical competency and agility. The regulatory environment is also stringent, governed by both federal laws applicable across the</w:t>
      </w:r>
      <w:r>
        <w:t xml:space="preserve"> </w:t>
      </w:r>
      <w:r>
        <w:rPr>
          <w:bCs/>
          <w:b/>
        </w:rPr>
        <w:t xml:space="preserve">United States</w:t>
      </w:r>
      <w:r>
        <w:t xml:space="preserve"> </w:t>
      </w:r>
      <w:r>
        <w:t xml:space="preserve">and specific municipal ordinances enacted by the city of San Francisco regarding small business lending, environmental sustainability funding, and consumer protection.</w:t>
      </w:r>
    </w:p>
    <w:bookmarkEnd w:id="21"/>
    <w:bookmarkStart w:id="24" w:name="profile-the-modern-banker-persona"/>
    <w:p>
      <w:pPr>
        <w:pStyle w:val="Heading2"/>
      </w:pPr>
      <w:r>
        <w:t xml:space="preserve">3. Profile: The Modern Banker Persona</w:t>
      </w:r>
    </w:p>
    <w:p>
      <w:pPr>
        <w:pStyle w:val="FirstParagraph"/>
      </w:pPr>
      <w:r>
        <w:t xml:space="preserve">The subject of this case study is "Alex Mercer," a Senior Relationship Manager at a mid-sized commercial bank with heavy operations in United States San Francisco. Alex represents the archetype of the modern banker: part financial advisor, part tech-savvy consultant, and part compliance officer.</w:t>
      </w:r>
    </w:p>
    <w:bookmarkStart w:id="22" w:name="core-responsibilities"/>
    <w:p>
      <w:pPr>
        <w:pStyle w:val="Heading3"/>
      </w:pPr>
      <w:r>
        <w:t xml:space="preserve">3.1 Core Responsibilities</w:t>
      </w:r>
    </w:p>
    <w:p>
      <w:pPr>
        <w:pStyle w:val="FirstParagraph"/>
      </w:pPr>
      <w:r>
        <w:t xml:space="preserve">Alex’s primary duty is to manage a portfolio of small-to-medium-sized enterprises (SMEs) and high-net-worth individuals. In United States San Francisco, these clients often include Series A startup founders, real estate investors capitalizing on the city’s dense housing market, and established family offices. The banker must provide holistic financial solutions that go beyond simple lending or deposit accounts.</w:t>
      </w:r>
    </w:p>
    <w:bookmarkEnd w:id="22"/>
    <w:bookmarkStart w:id="23" w:name="the-hybrid-skill-set"/>
    <w:p>
      <w:pPr>
        <w:pStyle w:val="Heading3"/>
      </w:pPr>
      <w:r>
        <w:t xml:space="preserve">2.2 The Hybrid Skill Set</w:t>
      </w:r>
    </w:p>
    <w:p>
      <w:pPr>
        <w:numPr>
          <w:ilvl w:val="0"/>
          <w:numId w:val="1001"/>
        </w:numPr>
        <w:pStyle w:val="Compact"/>
      </w:pPr>
      <w:r>
        <w:rPr>
          <w:bCs/>
          <w:b/>
        </w:rPr>
        <w:t xml:space="preserve">Digital Fluency:</w:t>
      </w:r>
      <w:r>
        <w:t xml:space="preserve">The banker must be proficient in using advanced banking apps, blockchain integration tools for cross-border transactions, and AI-driven risk assessment software.</w:t>
      </w:r>
    </w:p>
    <w:p>
      <w:pPr>
        <w:numPr>
          <w:ilvl w:val="0"/>
          <w:numId w:val="1001"/>
        </w:numPr>
        <w:pStyle w:val="Compact"/>
      </w:pPr>
      <w:r>
        <w:rPr>
          <w:bCs/>
          <w:b/>
        </w:rPr>
        <w:t xml:space="preserve">Economic Acumen:</w:t>
      </w:r>
      <w:r>
        <w:t xml:space="preserve">A deep understanding of the local United States San Francisco market trends is crucial. For instance, knowing which neighborhoods are undergoing gentrification or which tech sectors are facing headwinds allows the banker to offer predictive advice.</w:t>
      </w:r>
    </w:p>
    <w:p>
      <w:pPr>
        <w:numPr>
          <w:ilvl w:val="0"/>
          <w:numId w:val="1001"/>
        </w:numPr>
        <w:pStyle w:val="Compact"/>
      </w:pPr>
      <w:r>
        <w:rPr>
          <w:bCs/>
          <w:b/>
        </w:rPr>
        <w:t xml:space="preserve">Regulatory Navigation:</w:t>
      </w:r>
      <w:r>
        <w:t xml:space="preserve">Maintaining adherence to Anti-Money Laundering (AML) and Know Your Customer (KYC) regulations is non-negotiable. In a city known for its cash-intensive hospitality sector and digital asset trading, the scrutiny on bankers is intense.</w:t>
      </w:r>
    </w:p>
    <w:bookmarkEnd w:id="23"/>
    <w:bookmarkEnd w:id="24"/>
    <w:bookmarkStart w:id="27" w:name="X9b45ad2334a913f8260eada89ad2b7a32b8b9a0"/>
    <w:p>
      <w:pPr>
        <w:pStyle w:val="Heading2"/>
      </w:pPr>
      <w:r>
        <w:t xml:space="preserve">4. Case Scenario: The Fintech Startup Dilemma</w:t>
      </w:r>
    </w:p>
    <w:p>
      <w:pPr>
        <w:pStyle w:val="FirstParagraph"/>
      </w:pPr>
      <w:r>
        <w:t xml:space="preserve">The core narrative of this case study revolves around Alex’s client, "GreenLeaf Tech," a sustainable energy startup based in the Mission District of United States San Francisco. GreenLeaf Tech approached Alex seeking a $5 million expansion loan to scale their manufacturing operations.</w:t>
      </w:r>
    </w:p>
    <w:bookmarkStart w:id="25" w:name="the-challenge"/>
    <w:p>
      <w:pPr>
        <w:pStyle w:val="Heading3"/>
      </w:pPr>
      <w:r>
        <w:t xml:space="preserve">4.1 The Challenge</w:t>
      </w:r>
    </w:p>
    <w:p>
      <w:pPr>
        <w:pStyle w:val="FirstParagraph"/>
      </w:pPr>
      <w:r>
        <w:t xml:space="preserve">The challenge for the banker was multifaceted. First, traditional collateral requirements were difficult because GreenLeaf’s primary assets were intellectual property and human capital, not physical real estate—a common issue for tech firms in United States San Francisco where commercial rent is prohibitive. Second, the bank needed to assess the environmental impact of the expansion to align with its own corporate sustainability goals and local city mandates.</w:t>
      </w:r>
    </w:p>
    <w:bookmarkEnd w:id="25"/>
    <w:bookmarkStart w:id="26" w:name="the-bankers-intervention"/>
    <w:p>
      <w:pPr>
        <w:pStyle w:val="Heading3"/>
      </w:pPr>
      <w:r>
        <w:t xml:space="preserve">4.2 The Banker’s Intervention</w:t>
      </w:r>
    </w:p>
    <w:p>
      <w:pPr>
        <w:pStyle w:val="FirstParagraph"/>
      </w:pPr>
      <w:r>
        <w:t xml:space="preserve">Alex did not simply process a loan application. Instead, Alex adopted a consultative approach:</w:t>
      </w:r>
    </w:p>
    <w:p>
      <w:pPr>
        <w:numPr>
          <w:ilvl w:val="0"/>
          <w:numId w:val="1002"/>
        </w:numPr>
        <w:pStyle w:val="Compact"/>
      </w:pPr>
      <w:r>
        <w:rPr>
          <w:bCs/>
          <w:b/>
        </w:rPr>
        <w:t xml:space="preserve">Risk Assessment Innovation:</w:t>
      </w:r>
      <w:r>
        <w:t xml:space="preserve">Alex utilized alternative data sources, including API integrations with the startup’s accounting software and payment processors, to analyze cash flow in real-time rather than relying solely on annual tax returns. This digital-first approach is a hallmark of modern banking in tech-centric hubs.</w:t>
      </w:r>
    </w:p>
    <w:p>
      <w:pPr>
        <w:numPr>
          <w:ilvl w:val="0"/>
          <w:numId w:val="1002"/>
        </w:numPr>
        <w:pStyle w:val="Compact"/>
      </w:pPr>
      <w:r>
        <w:rPr>
          <w:bCs/>
          <w:b/>
        </w:rPr>
        <w:t xml:space="preserve">Regulatory Alignment:</w:t>
      </w:r>
      <w:r>
        <w:t xml:space="preserve">Alex worked closely with the compliance department to ensure that the loan structure met all federal guidelines while also qualifying for specific United States San Francisco municipal grants aimed at green energy initiatives.</w:t>
      </w:r>
    </w:p>
    <w:p>
      <w:pPr>
        <w:numPr>
          <w:ilvl w:val="0"/>
          <w:numId w:val="1002"/>
        </w:numPr>
        <w:pStyle w:val="Compact"/>
      </w:pPr>
      <w:r>
        <w:rPr>
          <w:bCs/>
          <w:b/>
        </w:rPr>
        <w:t xml:space="preserve">Negotiation and Structure:</w:t>
      </w:r>
      <w:r>
        <w:t xml:space="preserve">Rather than a standard amortizing loan, Alex structured a hybrid debt-equity instrument. This allowed the bank to secure some upside potential if GreenLeaf Tech succeeded, while offering lower interest rates in exchange for equity warrants. This creative structuring is essential for bankers serving the innovative sectors prevalent in United States San Francisco.</w:t>
      </w:r>
    </w:p>
    <w:bookmarkEnd w:id="26"/>
    <w:bookmarkEnd w:id="27"/>
    <w:bookmarkStart w:id="28" w:name="outcomes-and-impact"/>
    <w:p>
      <w:pPr>
        <w:pStyle w:val="Heading2"/>
      </w:pPr>
      <w:r>
        <w:t xml:space="preserve">5. Outcomes and Impact</w:t>
      </w:r>
    </w:p>
    <w:p>
      <w:pPr>
        <w:pStyle w:val="FirstParagraph"/>
      </w:pPr>
      <w:r>
        <w:t xml:space="preserve">The case study demonstrates several key outcomes of effective banking practice in this region:</w:t>
      </w:r>
    </w:p>
    <w:p>
      <w:pPr>
        <w:numPr>
          <w:ilvl w:val="0"/>
          <w:numId w:val="1003"/>
        </w:numPr>
        <w:pStyle w:val="Compact"/>
      </w:pPr>
      <w:r>
        <w:rPr>
          <w:bCs/>
          <w:b/>
        </w:rPr>
        <w:t xml:space="preserve">Economic Growth:</w:t>
      </w:r>
      <w:r>
        <w:t xml:space="preserve">The successful funding allowed GreenLeaf Tech to hire 40 local employees, contributing directly to the United States San Francisco labor market.</w:t>
      </w:r>
    </w:p>
    <w:p>
      <w:pPr>
        <w:numPr>
          <w:ilvl w:val="0"/>
          <w:numId w:val="1003"/>
        </w:numPr>
        <w:pStyle w:val="Compact"/>
      </w:pPr>
      <w:r>
        <w:rPr>
          <w:bCs/>
          <w:b/>
        </w:rPr>
        <w:t xml:space="preserve">Risk Mitigation:</w:t>
      </w:r>
      <w:r>
        <w:t xml:space="preserve">The hybrid structure protected the bank from downside risk while participating in potential upside, a strategy that has become increasingly popular among bankers in competitive markets like United States San Francisco.</w:t>
      </w:r>
    </w:p>
    <w:p>
      <w:pPr>
        <w:numPr>
          <w:ilvl w:val="0"/>
          <w:numId w:val="1003"/>
        </w:numPr>
        <w:pStyle w:val="Compact"/>
      </w:pPr>
      <w:r>
        <w:rPr>
          <w:bCs/>
          <w:b/>
        </w:rPr>
        <w:t xml:space="preserve">Client Retention:</w:t>
      </w:r>
      <w:r>
        <w:t xml:space="preserve">Alex’s personalized, tech-enabled service deepened the relationship with GreenLeaf Tech. When the company later sought international expansion into Europe, Alex was their first point of contact for foreign exchange and cross-border trade finance solutions.</w:t>
      </w:r>
    </w:p>
    <w:bookmarkEnd w:id="28"/>
    <w:bookmarkStart w:id="32" w:name="X021c36b591c34caf48cda1aa303b17163a45abe"/>
    <w:p>
      <w:pPr>
        <w:pStyle w:val="Heading2"/>
      </w:pPr>
      <w:r>
        <w:t xml:space="preserve">6. Challenges Faced by Bankers in United States San Francisco</w:t>
      </w:r>
    </w:p>
    <w:p>
      <w:pPr>
        <w:pStyle w:val="FirstParagraph"/>
      </w:pPr>
      <w:r>
        <w:t xml:space="preserve">This case study also highlights broader industry challenges:</w:t>
      </w:r>
    </w:p>
    <w:bookmarkStart w:id="29" w:name="competition-from-neobanks"/>
    <w:p>
      <w:pPr>
        <w:pStyle w:val="Heading3"/>
      </w:pPr>
      <w:r>
        <w:t xml:space="preserve">6.1 Competition from Neobanks</w:t>
      </w:r>
    </w:p>
    <w:p>
      <w:pPr>
        <w:pStyle w:val="FirstParagraph"/>
      </w:pPr>
      <w:r>
        <w:t xml:space="preserve">In United States San Francisco, traditional bankers face stiff competition from digital-only banks (neobanks) that offer seamless user experiences with lower fees. Bankers must justify their value proposition through human expertise and complex problem-solving that algorithms cannot yet replicate.</w:t>
      </w:r>
    </w:p>
    <w:bookmarkEnd w:id="29"/>
    <w:bookmarkStart w:id="30" w:name="economic-volatility"/>
    <w:p>
      <w:pPr>
        <w:pStyle w:val="Heading3"/>
      </w:pPr>
      <w:r>
        <w:t xml:space="preserve">6.2 Economic Volatility</w:t>
      </w:r>
    </w:p>
    <w:p>
      <w:pPr>
        <w:pStyle w:val="FirstParagraph"/>
      </w:pPr>
      <w:r>
        <w:t xml:space="preserve">The real estate market in United States San Francisco is highly volatile. Bankers must constantly adjust loan-to-value ratios and stress-test portfolios against potential downturns in both tech and hospitality sectors.</w:t>
      </w:r>
    </w:p>
    <w:bookmarkEnd w:id="30"/>
    <w:bookmarkStart w:id="31" w:name="regulatory-burden"/>
    <w:p>
      <w:pPr>
        <w:pStyle w:val="Heading3"/>
      </w:pPr>
      <w:r>
        <w:t xml:space="preserve">6.4 Regulatory Burden</w:t>
      </w:r>
    </w:p>
    <w:p>
      <w:pPr>
        <w:pStyle w:val="FirstParagraph"/>
      </w:pPr>
      <w:r>
        <w:t xml:space="preserve">Banks in this jurisdiction often face overlapping regulations from state, federal, and city levels. For example, United States San Francisco has enacted strict data privacy laws that require bankers to handle client information with heightened security protocols.</w:t>
      </w:r>
    </w:p>
    <w:bookmarkEnd w:id="31"/>
    <w:bookmarkEnd w:id="32"/>
    <w:bookmarkStart w:id="33" w:name="conclusion-and-strategic-recommendations"/>
    <w:p>
      <w:pPr>
        <w:pStyle w:val="Heading2"/>
      </w:pPr>
      <w:r>
        <w:t xml:space="preserve">7. Conclusion and Strategic Recommendations</w:t>
      </w:r>
    </w:p>
    <w:p>
      <w:pPr>
        <w:pStyle w:val="FirstParagraph"/>
      </w:pPr>
      <w:r>
        <w:t xml:space="preserve">The role of the banker in United States San Francisco is evolving from a transactional facilitator to a strategic partner. The case of Alex Mercer illustrates that success in this market requires more than just financial knowledge; it demands adaptability, technological proficiency, and a deep understanding of local economic nuances.</w:t>
      </w:r>
    </w:p>
    <w:p>
      <w:pPr>
        <w:pStyle w:val="BodyText"/>
      </w:pPr>
      <w:r>
        <w:t xml:space="preserve">For institutions operating in United States San Francisco, the following recommendations are proposed for future banking strategies:</w:t>
      </w:r>
    </w:p>
    <w:p>
      <w:pPr>
        <w:numPr>
          <w:ilvl w:val="0"/>
          <w:numId w:val="1004"/>
        </w:numPr>
        <w:pStyle w:val="Compact"/>
      </w:pPr>
      <w:r>
        <w:rPr>
          <w:bCs/>
          <w:b/>
        </w:rPr>
        <w:t xml:space="preserve">Invest in Hybrid Training:</w:t>
      </w:r>
      <w:r>
        <w:t xml:space="preserve">Banker training programs should emphasize both soft skills (negotiation, empathy) and hard skills (data analytics, fintech integration).</w:t>
      </w:r>
    </w:p>
    <w:p>
      <w:pPr>
        <w:numPr>
          <w:ilvl w:val="0"/>
          <w:numId w:val="1004"/>
        </w:numPr>
        <w:pStyle w:val="Compact"/>
      </w:pPr>
      <w:r>
        <w:rPr>
          <w:bCs/>
          <w:b/>
        </w:rPr>
        <w:t xml:space="preserve">Leverage Local Data:</w:t>
      </w:r>
      <w:r>
        <w:t xml:space="preserve">Banks should develop proprietary models that incorporate local United States San Francisco economic indicators to better predict client needs and risks.</w:t>
      </w:r>
    </w:p>
    <w:p>
      <w:pPr>
        <w:numPr>
          <w:ilvl w:val="0"/>
          <w:numId w:val="1004"/>
        </w:numPr>
        <w:pStyle w:val="Compact"/>
      </w:pPr>
      <w:r>
        <w:rPr>
          <w:bCs/>
          <w:b/>
        </w:rPr>
        <w:t xml:space="preserve">Community Engagement:</w:t>
      </w:r>
      <w:r>
        <w:t xml:space="preserve">To build trust in a skeptical market, bankers in United States San Francisco must actively engage with local community boards and small business associations.</w:t>
      </w:r>
    </w:p>
    <w:p>
      <w:pPr>
        <w:pStyle w:val="FirstParagraph"/>
      </w:pPr>
      <w:r>
        <w:t xml:space="preserve">In conclusion, the modern banker is not merely a custodian of money but a critical architect of financial stability and growth. In the unique environment of United States San Francisco, where innovation meets tradition and risk meets reward, the banker’s ability to bridge these gaps determines their success and that of their clients.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United States San Francisco</dc:title>
  <dc:creator/>
  <dc:language>en</dc:language>
  <cp:keywords/>
  <dcterms:created xsi:type="dcterms:W3CDTF">2026-07-29T13:01:50Z</dcterms:created>
  <dcterms:modified xsi:type="dcterms:W3CDTF">2026-07-29T13:01:50Z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