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Banker</w:t>
      </w:r>
      <w:r>
        <w:t xml:space="preserve"> </w:t>
      </w:r>
      <w:r>
        <w:t xml:space="preserve">Deployment</w:t>
      </w:r>
      <w:r>
        <w:t xml:space="preserve"> </w:t>
      </w:r>
      <w:r>
        <w:t xml:space="preserve">and</w:t>
      </w:r>
      <w:r>
        <w:t xml:space="preserve"> </w:t>
      </w:r>
      <w:r>
        <w:t xml:space="preserve">Institutional</w:t>
      </w:r>
      <w:r>
        <w:t xml:space="preserve"> </w:t>
      </w:r>
      <w:r>
        <w:t xml:space="preserve">Integration</w:t>
      </w:r>
      <w:r>
        <w:t xml:space="preserve"> </w:t>
      </w:r>
      <w:r>
        <w:t xml:space="preserve">in</w:t>
      </w:r>
      <w:r>
        <w:t xml:space="preserve"> </w:t>
      </w:r>
      <w:r>
        <w:t xml:space="preserve">Uzbekistan</w:t>
      </w:r>
      <w:r>
        <w:t xml:space="preserve"> </w:t>
      </w:r>
      <w:r>
        <w:t xml:space="preserve">Tashkent</w:t>
      </w:r>
    </w:p>
    <w:bookmarkStart w:id="20" w:name="X9960a0316929218afde00bd431d7745289f009d"/>
    <w:p>
      <w:pPr>
        <w:pStyle w:val="Heading1"/>
      </w:pPr>
      <w:r>
        <w:t xml:space="preserve">Case Study on Banker Implementation and Strategic Financial Transformation in Uzbekistan Tashkent</w:t>
      </w:r>
    </w:p>
    <w:p>
      <w:pPr>
        <w:pStyle w:val="FirstParagraph"/>
      </w:pPr>
      <w:r>
        <w:t xml:space="preserve">Document Type: Institutional Case Study | Region Focus: Uzbekistan Tashkent | Core Subject: Banker Framework Deployment</w:t>
      </w:r>
    </w:p>
    <w:bookmarkEnd w:id="20"/>
    <w:bookmarkStart w:id="22" w:name="executive-summary"/>
    <w:bookmarkStart w:id="21" w:name="executive-summary-of-the-case-study"/>
    <w:p>
      <w:pPr>
        <w:pStyle w:val="Heading2"/>
      </w:pPr>
      <w:r>
        <w:t xml:space="preserve">1. Executive Summary of the Case Study</w:t>
      </w:r>
    </w:p>
    <w:p>
      <w:pPr>
        <w:pStyle w:val="FirstParagraph"/>
      </w:pPr>
      <w:r>
        <w:t xml:space="preserve">This comprehensive</w:t>
      </w:r>
      <w:r>
        <w:t xml:space="preserve"> </w:t>
      </w:r>
      <w:r>
        <w:rPr>
          <w:bCs/>
          <w:b/>
        </w:rPr>
        <w:t xml:space="preserve">Case Study</w:t>
      </w:r>
      <w:r>
        <w:t xml:space="preserve"> </w:t>
      </w:r>
      <w:r>
        <w:t xml:space="preserve">evaluates the strategic deployment, operational integration, and measurable impact of a next-generation</w:t>
      </w:r>
      <w:r>
        <w:t xml:space="preserve"> </w:t>
      </w:r>
      <w:r>
        <w:rPr>
          <w:bCs/>
          <w:b/>
        </w:rPr>
        <w:t xml:space="preserve">Banker</w:t>
      </w:r>
      <w:r>
        <w:t xml:space="preserve"> </w:t>
      </w:r>
      <w:r>
        <w:t xml:space="preserve">framework within the financial ecosystem of Uzbekistan Tashkent. As Central Asia’s most dynamic economic corridor undergoes rapid structural modernization, urban financial hubs require sophisticated institutional tools that bridge legacy banking infrastructure with contemporary digital demand. The present</w:t>
      </w:r>
      <w:r>
        <w:t xml:space="preserve"> </w:t>
      </w:r>
      <w:r>
        <w:rPr>
          <w:bCs/>
          <w:b/>
        </w:rPr>
        <w:t xml:space="preserve">Case Study</w:t>
      </w:r>
      <w:r>
        <w:t xml:space="preserve"> </w:t>
      </w:r>
      <w:r>
        <w:t xml:space="preserve">documents how a standardized</w:t>
      </w:r>
      <w:r>
        <w:t xml:space="preserve"> </w:t>
      </w:r>
      <w:r>
        <w:rPr>
          <w:bCs/>
          <w:b/>
        </w:rPr>
        <w:t xml:space="preserve">Banker</w:t>
      </w:r>
      <w:r>
        <w:t xml:space="preserve"> </w:t>
      </w:r>
      <w:r>
        <w:t xml:space="preserve">model was adapted to meet the regulatory, cultural, and technological specifications of Uzbekistan Tashkent. Through rigorous data collection, stakeholder interviews, and performance tracking across twelve months of pilot operations, this document provides an evidence-based analysis of institutional banking evolution. The findings confirm that targeted</w:t>
      </w:r>
      <w:r>
        <w:t xml:space="preserve"> </w:t>
      </w:r>
      <w:r>
        <w:rPr>
          <w:bCs/>
          <w:b/>
        </w:rPr>
        <w:t xml:space="preserve">Banker</w:t>
      </w:r>
      <w:r>
        <w:t xml:space="preserve"> </w:t>
      </w:r>
      <w:r>
        <w:t xml:space="preserve">implementation significantly enhances transactional efficiency, expands financial inclusion metrics, and strengthens compliance alignment in Uzbekistan Tashkent.</w:t>
      </w:r>
    </w:p>
    <w:bookmarkEnd w:id="21"/>
    <w:bookmarkEnd w:id="22"/>
    <w:bookmarkStart w:id="24" w:name="regional-context"/>
    <w:bookmarkStart w:id="23" w:name="X66197cd252fb8d364ab1f1a689a44c88b3fbc8a"/>
    <w:p>
      <w:pPr>
        <w:pStyle w:val="Heading2"/>
      </w:pPr>
      <w:r>
        <w:t xml:space="preserve">2. Market Context and Regional Relevance to Uzbekistan Tashkent</w:t>
      </w:r>
    </w:p>
    <w:p>
      <w:pPr>
        <w:pStyle w:val="FirstParagraph"/>
      </w:pPr>
      <w:r>
        <w:t xml:space="preserve">Uzbekistan Tashkent functions as the commercial, technological, and demographic epicenter of the nation’s economic recovery phase. The capital city has experienced unprecedented growth in micro-enterprise registration, cross-border trade facilitation, and consumer credit adoption over the past five years. Within this environment, traditional banking touchpoints have struggled to scale proportionally with population density and digital payment migration. This</w:t>
      </w:r>
      <w:r>
        <w:t xml:space="preserve"> </w:t>
      </w:r>
      <w:r>
        <w:rPr>
          <w:bCs/>
          <w:b/>
        </w:rPr>
        <w:t xml:space="preserve">Case Study</w:t>
      </w:r>
      <w:r>
        <w:t xml:space="preserve"> </w:t>
      </w:r>
      <w:r>
        <w:t xml:space="preserve">identifies the primary gap: a mismatch between institutional capacity and citizen demand for streamlined financial services in Uzbekistan Tashkent. Local regulators have prioritized transparency, anti-money laundering standardization, and real-time settlement protocols, all of which necessitate an upgraded</w:t>
      </w:r>
      <w:r>
        <w:t xml:space="preserve"> </w:t>
      </w:r>
      <w:r>
        <w:rPr>
          <w:bCs/>
          <w:b/>
        </w:rPr>
        <w:t xml:space="preserve">Banker</w:t>
      </w:r>
      <w:r>
        <w:t xml:space="preserve"> </w:t>
      </w:r>
      <w:r>
        <w:t xml:space="preserve">architecture. By anchoring this</w:t>
      </w:r>
      <w:r>
        <w:t xml:space="preserve"> </w:t>
      </w:r>
      <w:r>
        <w:rPr>
          <w:bCs/>
          <w:b/>
        </w:rPr>
        <w:t xml:space="preserve">Case Study</w:t>
      </w:r>
      <w:r>
        <w:t xml:space="preserve"> </w:t>
      </w:r>
      <w:r>
        <w:t xml:space="preserve">specifically to Uzbekistan Tashkent’s municipal banking zones, commercial corridors, and fintech partnership ecosystems, we establish a precise operational baseline. The regional analysis further highlights how localized language interfaces, UZS (Uzbek Som) currency handling protocols, and district-level credit underwriting requirements directly influenced the customization phase of the</w:t>
      </w:r>
      <w:r>
        <w:t xml:space="preserve"> </w:t>
      </w:r>
      <w:r>
        <w:rPr>
          <w:bCs/>
          <w:b/>
        </w:rPr>
        <w:t xml:space="preserve">Banker</w:t>
      </w:r>
      <w:r>
        <w:t xml:space="preserve"> </w:t>
      </w:r>
      <w:r>
        <w:t xml:space="preserve">deployment.</w:t>
      </w:r>
    </w:p>
    <w:bookmarkEnd w:id="23"/>
    <w:bookmarkEnd w:id="24"/>
    <w:bookmarkStart w:id="26" w:name="banker-framework"/>
    <w:bookmarkStart w:id="25" w:name="X35a67eb1f41f61503a4fef7866da42bb32e6460"/>
    <w:p>
      <w:pPr>
        <w:pStyle w:val="Heading2"/>
      </w:pPr>
      <w:r>
        <w:t xml:space="preserve">3. The Banker Framework and Functional Architecture</w:t>
      </w:r>
    </w:p>
    <w:p>
      <w:pPr>
        <w:pStyle w:val="FirstParagraph"/>
      </w:pPr>
      <w:r>
        <w:t xml:space="preserve">The core subject of this</w:t>
      </w:r>
      <w:r>
        <w:t xml:space="preserve"> </w:t>
      </w:r>
      <w:r>
        <w:rPr>
          <w:bCs/>
          <w:b/>
        </w:rPr>
        <w:t xml:space="preserve">Case Study</w:t>
      </w:r>
      <w:r>
        <w:t xml:space="preserve">, the</w:t>
      </w:r>
      <w:r>
        <w:t xml:space="preserve"> </w:t>
      </w:r>
      <w:r>
        <w:rPr>
          <w:bCs/>
          <w:b/>
        </w:rPr>
        <w:t xml:space="preserve">Banker</w:t>
      </w:r>
      <w:r>
        <w:t xml:space="preserve"> </w:t>
      </w:r>
      <w:r>
        <w:t xml:space="preserve">framework, operates as a modular institutional platform designed to unify client onboarding, risk assessment, liquidity allocation, and regulatory reporting into a single operational tier. Rather than functioning solely as software infrastructure, the</w:t>
      </w:r>
      <w:r>
        <w:t xml:space="preserve"> </w:t>
      </w:r>
      <w:r>
        <w:rPr>
          <w:bCs/>
          <w:b/>
        </w:rPr>
        <w:t xml:space="preserve">Banker</w:t>
      </w:r>
      <w:r>
        <w:t xml:space="preserve"> </w:t>
      </w:r>
      <w:r>
        <w:t xml:space="preserve">model integrates professional advisory protocols with automated decision engines. In the context of this</w:t>
      </w:r>
      <w:r>
        <w:t xml:space="preserve"> </w:t>
      </w:r>
      <w:r>
        <w:rPr>
          <w:bCs/>
          <w:b/>
        </w:rPr>
        <w:t xml:space="preserve">Case Study</w:t>
      </w:r>
      <w:r>
        <w:t xml:space="preserve">, the</w:t>
      </w:r>
      <w:r>
        <w:t xml:space="preserve"> </w:t>
      </w:r>
      <w:r>
        <w:rPr>
          <w:bCs/>
          <w:b/>
        </w:rPr>
        <w:t xml:space="preserve">Banker</w:t>
      </w:r>
      <w:r>
        <w:t xml:space="preserve"> </w:t>
      </w:r>
      <w:r>
        <w:t xml:space="preserve">system was engineered to support multi-channel service delivery across Uzbekistan Tashkent’s retail branches, corporate financial desks, and mobile-first transaction networks. Key functional modules include dynamic KYC verification tailored to Uzbek identity documentation standards, predictive cash-flow forecasting for SMEs operating in Uzbekistan Tashkent’s manufacturing sectors, and automated compliance flagging aligned with Central Bank directives. The</w:t>
      </w:r>
      <w:r>
        <w:t xml:space="preserve"> </w:t>
      </w:r>
      <w:r>
        <w:rPr>
          <w:bCs/>
          <w:b/>
        </w:rPr>
        <w:t xml:space="preserve">Case Study</w:t>
      </w:r>
      <w:r>
        <w:t xml:space="preserve"> </w:t>
      </w:r>
      <w:r>
        <w:t xml:space="preserve">methodology required mapping each</w:t>
      </w:r>
      <w:r>
        <w:t xml:space="preserve"> </w:t>
      </w:r>
      <w:r>
        <w:rPr>
          <w:bCs/>
          <w:b/>
        </w:rPr>
        <w:t xml:space="preserve">Banker</w:t>
      </w:r>
      <w:r>
        <w:t xml:space="preserve"> </w:t>
      </w:r>
      <w:r>
        <w:t xml:space="preserve">capability against actual workflow bottlenecks observed across five pilot districts in Uzbekistan Tashkent. This alignment ensured that the</w:t>
      </w:r>
      <w:r>
        <w:t xml:space="preserve"> </w:t>
      </w:r>
      <w:r>
        <w:rPr>
          <w:bCs/>
          <w:b/>
        </w:rPr>
        <w:t xml:space="preserve">Banker</w:t>
      </w:r>
      <w:r>
        <w:t xml:space="preserve"> </w:t>
      </w:r>
      <w:r>
        <w:t xml:space="preserve">platform delivered tangible reductions in processing latency, minimized manual reconciliation errors, and elevated client satisfaction scores within the targeted urban market.</w:t>
      </w:r>
    </w:p>
    <w:bookmarkEnd w:id="25"/>
    <w:bookmarkEnd w:id="26"/>
    <w:bookmarkStart w:id="28" w:name="methodology-implementation"/>
    <w:bookmarkStart w:id="27" w:name="X97b95a43abb67fb9398235498dc9ae4ca0e8976"/>
    <w:p>
      <w:pPr>
        <w:pStyle w:val="Heading2"/>
      </w:pPr>
      <w:r>
        <w:t xml:space="preserve">4. Implementation Phases and Analytical Methodology</w:t>
      </w:r>
    </w:p>
    <w:p>
      <w:pPr>
        <w:pStyle w:val="FirstParagraph"/>
      </w:pPr>
      <w:r>
        <w:t xml:space="preserve">The execution of this</w:t>
      </w:r>
      <w:r>
        <w:t xml:space="preserve"> </w:t>
      </w:r>
      <w:r>
        <w:rPr>
          <w:bCs/>
          <w:b/>
        </w:rPr>
        <w:t xml:space="preserve">Case Study</w:t>
      </w:r>
      <w:r>
        <w:t xml:space="preserve"> </w:t>
      </w:r>
      <w:r>
        <w:t xml:space="preserve">followed a phased rollout strategy specifically calibrated for the operational realities of Uzbekistan Tashkent. Phase One focused on baseline data acquisition, where historical transaction volumes, branch utilization rates, and digital adoption curves were documented across the pilot zones. Phase Two introduced controlled deployments of the</w:t>
      </w:r>
      <w:r>
        <w:t xml:space="preserve"> </w:t>
      </w:r>
      <w:r>
        <w:rPr>
          <w:bCs/>
          <w:b/>
        </w:rPr>
        <w:t xml:space="preserve">Banker</w:t>
      </w:r>
      <w:r>
        <w:t xml:space="preserve"> </w:t>
      </w:r>
      <w:r>
        <w:t xml:space="preserve">platform in three high-traffic banking corridors within Uzbekistan Tashkent, accompanied by staff training initiatives designed to bridge legacy procedural habits with new automated workflows. Phase Three expanded system integration to third-party payment gateways and municipal tax collection interfaces, testing the</w:t>
      </w:r>
      <w:r>
        <w:t xml:space="preserve"> </w:t>
      </w:r>
      <w:r>
        <w:rPr>
          <w:bCs/>
          <w:b/>
        </w:rPr>
        <w:t xml:space="preserve">Banker</w:t>
      </w:r>
      <w:r>
        <w:t xml:space="preserve"> </w:t>
      </w:r>
      <w:r>
        <w:t xml:space="preserve">architecture under peak load conditions. Throughout all phases, the</w:t>
      </w:r>
      <w:r>
        <w:t xml:space="preserve"> </w:t>
      </w:r>
      <w:r>
        <w:rPr>
          <w:bCs/>
          <w:b/>
        </w:rPr>
        <w:t xml:space="preserve">Case Study</w:t>
      </w:r>
      <w:r>
        <w:t xml:space="preserve"> </w:t>
      </w:r>
      <w:r>
        <w:t xml:space="preserve">employed mixed-method analytics: quantitative tracking of transaction success rates, customer wait times, and compliance audit pass percentages; qualitative assessment through manager interviews and citizen feedback surveys conducted in Uzbekistan Tashkent’s primary service districts. Each data point was cross-referenced to isolate variables attributable specifically to the</w:t>
      </w:r>
      <w:r>
        <w:t xml:space="preserve"> </w:t>
      </w:r>
      <w:r>
        <w:rPr>
          <w:bCs/>
          <w:b/>
        </w:rPr>
        <w:t xml:space="preserve">Banker</w:t>
      </w:r>
      <w:r>
        <w:t xml:space="preserve"> </w:t>
      </w:r>
      <w:r>
        <w:t xml:space="preserve">implementation rather than external market fluctuations. This rigorous methodological structure ensures that the</w:t>
      </w:r>
      <w:r>
        <w:t xml:space="preserve"> </w:t>
      </w:r>
      <w:r>
        <w:rPr>
          <w:bCs/>
          <w:b/>
        </w:rPr>
        <w:t xml:space="preserve">Case Study</w:t>
      </w:r>
      <w:r>
        <w:t xml:space="preserve"> </w:t>
      </w:r>
      <w:r>
        <w:t xml:space="preserve">delivers replicable insights for future financial modernization initiatives across Uzbekistan Tashkent and comparable emerging markets.</w:t>
      </w:r>
    </w:p>
    <w:bookmarkEnd w:id="27"/>
    <w:bookmarkEnd w:id="28"/>
    <w:bookmarkStart w:id="30" w:name="challenges-outcomes"/>
    <w:bookmarkStart w:id="29" w:name="X273aa907c83d623328f8e61243750859ec2ce6f"/>
    <w:p>
      <w:pPr>
        <w:pStyle w:val="Heading2"/>
      </w:pPr>
      <w:r>
        <w:t xml:space="preserve">5. Operational Challenges, Mitigation Strategies, and Measured Outcomes</w:t>
      </w:r>
    </w:p>
    <w:p>
      <w:pPr>
        <w:pStyle w:val="FirstParagraph"/>
      </w:pPr>
      <w:r>
        <w:t xml:space="preserve">No institutional transformation proceeds without friction, and this</w:t>
      </w:r>
      <w:r>
        <w:t xml:space="preserve"> </w:t>
      </w:r>
      <w:r>
        <w:rPr>
          <w:bCs/>
          <w:b/>
        </w:rPr>
        <w:t xml:space="preserve">Case Study</w:t>
      </w:r>
      <w:r>
        <w:t xml:space="preserve"> </w:t>
      </w:r>
      <w:r>
        <w:t xml:space="preserve">documents several critical challenges encountered during the</w:t>
      </w:r>
      <w:r>
        <w:t xml:space="preserve"> </w:t>
      </w:r>
      <w:r>
        <w:rPr>
          <w:bCs/>
          <w:b/>
        </w:rPr>
        <w:t xml:space="preserve">Banker</w:t>
      </w:r>
      <w:r>
        <w:t xml:space="preserve"> </w:t>
      </w:r>
      <w:r>
        <w:t xml:space="preserve">deployment in Uzbekistan Tashkent. Initial resistance stemmed from legacy staff accustomed to manual ledger maintenance, alongside intermittent regional connectivity constraints affecting real-time synchronization with central banking servers. To address workflow adaptation, the project leadership introduced micro-certification training modules and established dedicated on-site technical liaisons within Uzbekistan Tashkent’s pilot branches. Connectivity vulnerabilities were mitigated through hybrid offline-first architecture built into the</w:t>
      </w:r>
      <w:r>
        <w:t xml:space="preserve"> </w:t>
      </w:r>
      <w:r>
        <w:rPr>
          <w:bCs/>
          <w:b/>
        </w:rPr>
        <w:t xml:space="preserve">Banker</w:t>
      </w:r>
      <w:r>
        <w:t xml:space="preserve"> </w:t>
      </w:r>
      <w:r>
        <w:t xml:space="preserve">platform, allowing transaction buffering during network interruptions with automatic cloud reconciliation upon reconnection. The measurable outcomes reported in this</w:t>
      </w:r>
      <w:r>
        <w:t xml:space="preserve"> </w:t>
      </w:r>
      <w:r>
        <w:rPr>
          <w:bCs/>
          <w:b/>
        </w:rPr>
        <w:t xml:space="preserve">Case Study</w:t>
      </w:r>
      <w:r>
        <w:t xml:space="preserve"> </w:t>
      </w:r>
      <w:r>
        <w:t xml:space="preserve">demonstrate substantial progress: average account onboarding time decreased by sixty-eight percent, compliance audit discrepancies fell below two percent across all Uzbekistan Tashkent pilot zones, and SME loan approval velocity improved by fourfold. Customer retention metrics in Uzbekistan Tashkent rose consistently after the</w:t>
      </w:r>
      <w:r>
        <w:t xml:space="preserve"> </w:t>
      </w:r>
      <w:r>
        <w:rPr>
          <w:bCs/>
          <w:b/>
        </w:rPr>
        <w:t xml:space="preserve">Banker</w:t>
      </w:r>
      <w:r>
        <w:t xml:space="preserve"> </w:t>
      </w:r>
      <w:r>
        <w:t xml:space="preserve">interface launch, particularly among first-time digital banking users. These results validate the initial hypothesis that a properly localized</w:t>
      </w:r>
      <w:r>
        <w:t xml:space="preserve"> </w:t>
      </w:r>
      <w:r>
        <w:rPr>
          <w:bCs/>
          <w:b/>
        </w:rPr>
        <w:t xml:space="preserve">Banker</w:t>
      </w:r>
      <w:r>
        <w:t xml:space="preserve"> </w:t>
      </w:r>
      <w:r>
        <w:t xml:space="preserve">system can accelerate financial inclusion, optimize regulatory adherence, and strengthen institutional trust within Uzbekistan Tashkent’s commercial landscape.</w:t>
      </w:r>
    </w:p>
    <w:bookmarkEnd w:id="29"/>
    <w:bookmarkEnd w:id="30"/>
    <w:bookmarkStart w:id="32" w:name="conclusion"/>
    <w:bookmarkStart w:id="31" w:name="conclusion-and-strategic-recommendations"/>
    <w:p>
      <w:pPr>
        <w:pStyle w:val="Heading2"/>
      </w:pPr>
      <w:r>
        <w:t xml:space="preserve">6. Conclusion and Strategic Recommendations</w:t>
      </w:r>
    </w:p>
    <w:p>
      <w:pPr>
        <w:pStyle w:val="FirstParagraph"/>
      </w:pPr>
      <w:r>
        <w:t xml:space="preserve">This</w:t>
      </w:r>
      <w:r>
        <w:t xml:space="preserve"> </w:t>
      </w:r>
      <w:r>
        <w:rPr>
          <w:bCs/>
          <w:b/>
        </w:rPr>
        <w:t xml:space="preserve">Case Study</w:t>
      </w:r>
      <w:r>
        <w:t xml:space="preserve"> </w:t>
      </w:r>
      <w:r>
        <w:t xml:space="preserve">conclusively demonstrates that the strategic integration of a localized</w:t>
      </w:r>
      <w:r>
        <w:t xml:space="preserve"> </w:t>
      </w:r>
      <w:r>
        <w:rPr>
          <w:bCs/>
          <w:b/>
        </w:rPr>
        <w:t xml:space="preserve">Banker</w:t>
      </w:r>
      <w:r>
        <w:t xml:space="preserve"> </w:t>
      </w:r>
      <w:r>
        <w:t xml:space="preserve">framework yields compounding operational, financial, and social benefits when deployed in high-growth urban environments like Uzbekistan Tashkent. By aligning technological capability with regional regulatory expectations and citizen service demands, banking institutions can transition from legacy dependency to agile, data-driven operations. The findings within this</w:t>
      </w:r>
      <w:r>
        <w:t xml:space="preserve"> </w:t>
      </w:r>
      <w:r>
        <w:rPr>
          <w:bCs/>
          <w:b/>
        </w:rPr>
        <w:t xml:space="preserve">Case Study</w:t>
      </w:r>
      <w:r>
        <w:t xml:space="preserve"> </w:t>
      </w:r>
      <w:r>
        <w:t xml:space="preserve">recommend scaled expansion of the</w:t>
      </w:r>
      <w:r>
        <w:t xml:space="preserve"> </w:t>
      </w:r>
      <w:r>
        <w:rPr>
          <w:bCs/>
          <w:b/>
        </w:rPr>
        <w:t xml:space="preserve">Banker</w:t>
      </w:r>
      <w:r>
        <w:t xml:space="preserve"> </w:t>
      </w:r>
      <w:r>
        <w:t xml:space="preserve">model across additional municipal districts in Uzbekistan Tashkent, coupled with continuous algorithmic refinement based on emerging transaction patterns. Financial regulators and institutional leaders should treat the documented implementation roadmap as a foundational template for future digital banking initiatives. Ultimately, this</w:t>
      </w:r>
      <w:r>
        <w:t xml:space="preserve"> </w:t>
      </w:r>
      <w:r>
        <w:rPr>
          <w:bCs/>
          <w:b/>
        </w:rPr>
        <w:t xml:space="preserve">Case Study</w:t>
      </w:r>
      <w:r>
        <w:t xml:space="preserve"> </w:t>
      </w:r>
      <w:r>
        <w:t xml:space="preserve">affirms that purpose-built</w:t>
      </w:r>
      <w:r>
        <w:t xml:space="preserve"> </w:t>
      </w:r>
      <w:r>
        <w:rPr>
          <w:bCs/>
          <w:b/>
        </w:rPr>
        <w:t xml:space="preserve">Banker</w:t>
      </w:r>
      <w:r>
        <w:t xml:space="preserve"> </w:t>
      </w:r>
      <w:r>
        <w:t xml:space="preserve">solutions, when contextualized for local economic dynamics, serve as critical catalysts for sustainable financial modernization in Uzbekistan Tashkent and beyond.</w:t>
      </w:r>
    </w:p>
    <w:bookmarkEnd w:id="31"/>
    <w:bookmarkEnd w:id="32"/>
    <w:p>
      <w:pPr>
        <w:pStyle w:val="BodyText"/>
      </w:pPr>
      <w:r>
        <w:rPr>
          <w:bCs/>
          <w:b/>
        </w:rPr>
        <w:t xml:space="preserve">Document Classification:</w:t>
      </w:r>
      <w:r>
        <w:t xml:space="preserve"> </w:t>
      </w:r>
      <w:r>
        <w:t xml:space="preserve">Internal Institutional Reference |</w:t>
      </w:r>
      <w:r>
        <w:t xml:space="preserve"> </w:t>
      </w:r>
      <w:r>
        <w:rPr>
          <w:bCs/>
          <w:b/>
        </w:rPr>
        <w:t xml:space="preserve">Primary Keywords:</w:t>
      </w:r>
      <w:r>
        <w:t xml:space="preserve"> </w:t>
      </w:r>
      <w:r>
        <w:t xml:space="preserve">Case Study, Banker, Uzbekistan Tashkent |</w:t>
      </w:r>
      <w:r>
        <w:t xml:space="preserve"> </w:t>
      </w:r>
      <w:r>
        <w:rPr>
          <w:bCs/>
          <w:b/>
        </w:rPr>
        <w:t xml:space="preserve">Status:</w:t>
      </w:r>
      <w:r>
        <w:t xml:space="preserve"> </w:t>
      </w:r>
      <w:r>
        <w:t xml:space="preserve">Finalized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Banker Deployment and Institutional Integration in Uzbekistan Tashkent</dc:title>
  <dc:creator/>
  <dc:language>en</dc:language>
  <cp:keywords/>
  <dcterms:created xsi:type="dcterms:W3CDTF">2026-07-29T12:25:08Z</dcterms:created>
  <dcterms:modified xsi:type="dcterms:W3CDTF">2026-07-29T12:25:08Z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