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Venezuela</w:t>
      </w:r>
      <w:r>
        <w:t xml:space="preserve"> </w:t>
      </w:r>
      <w:r>
        <w:t xml:space="preserve">Caracas</w:t>
      </w:r>
    </w:p>
    <w:bookmarkStart w:id="29" w:name="Xb96c7ada8152366c42fc78cc6e14c26b901858a"/>
    <w:p>
      <w:pPr>
        <w:pStyle w:val="Heading1"/>
      </w:pPr>
      <w:r>
        <w:t xml:space="preserve">Case Study : Strategic Resilience of the Modern Banker in Venezuela Caracas</w:t>
      </w:r>
    </w:p>
    <w:p>
      <w:pPr>
        <w:pStyle w:val="FirstParagraph"/>
      </w:pPr>
      <w:r>
        <w:t xml:space="preserve">This case study examines the profound transformation experienced by the financial sector in</w:t>
      </w:r>
      <w:r>
        <w:t xml:space="preserve"> </w:t>
      </w:r>
      <w:r>
        <w:rPr>
          <w:bCs/>
          <w:b/>
        </w:rPr>
        <w:t xml:space="preserve">Venezuela Caracas</w:t>
      </w:r>
      <w:r>
        <w:t xml:space="preserve">, with a specific focus on the role of the</w:t>
      </w:r>
      <w:r>
        <w:t xml:space="preserve"> </w:t>
      </w:r>
      <w:r>
        <w:rPr>
          <w:iCs/>
          <w:i/>
        </w:rPr>
        <w:t xml:space="preserve">Banker</w:t>
      </w:r>
      <w:r>
        <w:t xml:space="preserve">. Once considered one of Latin America's most stable banking markets, Venezuela has undergone unprecedented economic volatility. The modern banker operating in this environment is no longer just a financial manager but a crisis strategist, compliance officer, and technological pioneer all rolled into one.</w:t>
      </w:r>
    </w:p>
    <w:bookmarkStart w:id="20" w:name="executive-summary"/>
    <w:p>
      <w:pPr>
        <w:pStyle w:val="Heading2"/>
      </w:pPr>
      <w:r>
        <w:t xml:space="preserve">1. Executive Summary</w:t>
      </w:r>
    </w:p>
    <w:p>
      <w:pPr>
        <w:pStyle w:val="FirstParagraph"/>
      </w:pPr>
      <w:r>
        <w:t xml:space="preserve">The traditional model of banking relies on stability, predictable inflation rates, and consistent regulatory frameworks. In</w:t>
      </w:r>
      <w:r>
        <w:t xml:space="preserve"> </w:t>
      </w:r>
      <w:r>
        <w:rPr>
          <w:bCs/>
          <w:b/>
        </w:rPr>
        <w:t xml:space="preserve">Venezuela Caracas</w:t>
      </w:r>
      <w:r>
        <w:t xml:space="preserve">, these pillars have been severely shaken over the past decade due to hyperinflation, currency devaluation, political instability, and international sanctions. This document analyzes how the contemporary</w:t>
      </w:r>
      <w:r>
        <w:t xml:space="preserve"> </w:t>
      </w:r>
      <w:r>
        <w:rPr>
          <w:iCs/>
          <w:i/>
        </w:rPr>
        <w:t xml:space="preserve">Banker</w:t>
      </w:r>
      <w:r>
        <w:t xml:space="preserve"> </w:t>
      </w:r>
      <w:r>
        <w:t xml:space="preserve">in this region has adapted their operational strategies to survive and eventually thrive amidst chaos. The study highlights key areas including digital transformation, multi-currency liquidity management, and enhanced risk assessment protocols.</w:t>
      </w:r>
    </w:p>
    <w:bookmarkEnd w:id="20"/>
    <w:bookmarkStart w:id="21" w:name="X4935935b3e74a1d371aad9e91a48564fd7e858f"/>
    <w:p>
      <w:pPr>
        <w:pStyle w:val="Heading2"/>
      </w:pPr>
      <w:r>
        <w:t xml:space="preserve">2. Historical Context : From Stability to Crisis</w:t>
      </w:r>
    </w:p>
    <w:p>
      <w:pPr>
        <w:pStyle w:val="FirstParagraph"/>
      </w:pPr>
      <w:r>
        <w:t xml:space="preserve">To understand the current state of the</w:t>
      </w:r>
      <w:r>
        <w:t xml:space="preserve"> </w:t>
      </w:r>
      <w:r>
        <w:rPr>
          <w:iCs/>
          <w:i/>
        </w:rPr>
        <w:t xml:space="preserve">Banker</w:t>
      </w:r>
      <w:r>
        <w:t xml:space="preserve">, one must first appreciate the baseline from which they started. Prior to 2014,</w:t>
      </w:r>
      <w:r>
        <w:t xml:space="preserve"> </w:t>
      </w:r>
      <w:r>
        <w:rPr>
          <w:bCs/>
          <w:b/>
        </w:rPr>
        <w:t xml:space="preserve">Venezuela Caracas</w:t>
      </w:r>
      <w:r>
        <w:t xml:space="preserve"> </w:t>
      </w:r>
      <w:r>
        <w:t xml:space="preserve">was a hub for international business in South America. The banking sector was robust, heavily regulated by the Superintendencia de Bancos (SUDEBAN), and characterized by high levels of trust among citizens. However, the collapse in oil prices combined with mismanaged economic policies led to a severe recession.</w:t>
      </w:r>
    </w:p>
    <w:p>
      <w:pPr>
        <w:pStyle w:val="BodyText"/>
      </w:pPr>
      <w:r>
        <w:t xml:space="preserve">The introduction of multiple exchange rates and subsequent currency controls created a complex labyrinth for financial institutions. For the</w:t>
      </w:r>
      <w:r>
        <w:t xml:space="preserve"> </w:t>
      </w:r>
      <w:r>
        <w:rPr>
          <w:iCs/>
          <w:i/>
        </w:rPr>
        <w:t xml:space="preserve">Banker</w:t>
      </w:r>
      <w:r>
        <w:t xml:space="preserve">, this meant that traditional lending models became obsolete overnight. Assets held in local currency (Bolívars) lost value daily, necessitating immediate pivots toward hard currencies and precious metals to preserve capital.</w:t>
      </w:r>
    </w:p>
    <w:bookmarkEnd w:id="21"/>
    <w:bookmarkStart w:id="25" w:name="X62367679f586aaecae117cf864e25a060ff61bf"/>
    <w:p>
      <w:pPr>
        <w:pStyle w:val="Heading2"/>
      </w:pPr>
      <w:r>
        <w:t xml:space="preserve">3. The Evolving Role of the Banker in Venezuela Caracas</w:t>
      </w:r>
    </w:p>
    <w:p>
      <w:pPr>
        <w:pStyle w:val="FirstParagraph"/>
      </w:pPr>
      <w:r>
        <w:t xml:space="preserve">The definition of a</w:t>
      </w:r>
      <w:r>
        <w:t xml:space="preserve"> </w:t>
      </w:r>
      <w:r>
        <w:rPr>
          <w:iCs/>
          <w:i/>
        </w:rPr>
        <w:t xml:space="preserve">Banker</w:t>
      </w:r>
      <w:r>
        <w:t xml:space="preserve"> </w:t>
      </w:r>
      <w:r>
        <w:t xml:space="preserve">in</w:t>
      </w:r>
      <w:r>
        <w:t xml:space="preserve"> </w:t>
      </w:r>
      <w:r>
        <w:rPr>
          <w:bCs/>
          <w:b/>
        </w:rPr>
        <w:t xml:space="preserve">Venezuela Caracas</w:t>
      </w:r>
      <w:r>
        <w:t xml:space="preserve"> </w:t>
      </w:r>
      <w:r>
        <w:t xml:space="preserve">has expanded beyond its conventional scope. Today, this professional must possess a hybrid skill set that bridges traditional finance with emergency management and advanced technology.</w:t>
      </w:r>
    </w:p>
    <w:bookmarkStart w:id="22" w:name="liquidity-management-specialist"/>
    <w:p>
      <w:pPr>
        <w:pStyle w:val="Heading3"/>
      </w:pPr>
      <w:r>
        <w:t xml:space="preserve">3.1. Liquidity Management Specialist</w:t>
      </w:r>
    </w:p>
    <w:p>
      <w:pPr>
        <w:pStyle w:val="FirstParagraph"/>
      </w:pPr>
      <w:r>
        <w:t xml:space="preserve">The primary challenge for any banker in this region is liquidity. Due to frequent banking holidays and restrictions on cash withdrawals, the</w:t>
      </w:r>
      <w:r>
        <w:t xml:space="preserve"> </w:t>
      </w:r>
      <w:r>
        <w:rPr>
          <w:iCs/>
          <w:i/>
        </w:rPr>
        <w:t xml:space="preserve">Banker</w:t>
      </w:r>
      <w:r>
        <w:t xml:space="preserve"> </w:t>
      </w:r>
      <w:r>
        <w:t xml:space="preserve">must meticulously manage cash flow across multiple currencies (USD, EUR, CNY) and digital assets. They act as arbitrageurs between formal banking channels and informal markets, ensuring that their institution can meet withdrawal demands without triggering regulatory penalties.</w:t>
      </w:r>
    </w:p>
    <w:bookmarkEnd w:id="22"/>
    <w:bookmarkStart w:id="23" w:name="compliance-and-sanctions-navigator"/>
    <w:p>
      <w:pPr>
        <w:pStyle w:val="Heading3"/>
      </w:pPr>
      <w:r>
        <w:t xml:space="preserve">3.2. Compliance and Sanctions Navigator</w:t>
      </w:r>
    </w:p>
    <w:p>
      <w:pPr>
        <w:pStyle w:val="FirstParagraph"/>
      </w:pPr>
      <w:r>
        <w:t xml:space="preserve">International sanctions have isolated</w:t>
      </w:r>
      <w:r>
        <w:t xml:space="preserve"> </w:t>
      </w:r>
      <w:r>
        <w:rPr>
          <w:bCs/>
          <w:b/>
        </w:rPr>
        <w:t xml:space="preserve">Venezuela Caracas</w:t>
      </w:r>
      <w:r>
        <w:t xml:space="preserve">'s financial system from global correspondent banks. The modern</w:t>
      </w:r>
      <w:r>
        <w:t xml:space="preserve"> </w:t>
      </w:r>
      <w:r>
        <w:rPr>
          <w:iCs/>
          <w:i/>
        </w:rPr>
        <w:t xml:space="preserve">Banker</w:t>
      </w:r>
      <w:r>
        <w:t xml:space="preserve"> </w:t>
      </w:r>
      <w:r>
        <w:t xml:space="preserve">is now a legal expert in international trade law, navigating complex sanction regimes to facilitate legitimate cross-border transactions. They must ensure that every transaction complies with both local SUDEBAN regulations and international bodies like OFAC (Office of Foreign Assets Control), requiring a level of due diligence previously unseen in emerging markets.</w:t>
      </w:r>
    </w:p>
    <w:bookmarkEnd w:id="23"/>
    <w:bookmarkStart w:id="24" w:name="digital-transformation-leader"/>
    <w:p>
      <w:pPr>
        <w:pStyle w:val="Heading3"/>
      </w:pPr>
      <w:r>
        <w:t xml:space="preserve">3.3. Digital Transformation Leader</w:t>
      </w:r>
    </w:p>
    <w:p>
      <w:pPr>
        <w:pStyle w:val="FirstParagraph"/>
      </w:pPr>
      <w:r>
        <w:t xml:space="preserve">In response to physical cash shortages, the</w:t>
      </w:r>
      <w:r>
        <w:t xml:space="preserve"> </w:t>
      </w:r>
      <w:r>
        <w:rPr>
          <w:iCs/>
          <w:i/>
        </w:rPr>
        <w:t xml:space="preserve">Banker</w:t>
      </w:r>
      <w:r>
        <w:t xml:space="preserve"> </w:t>
      </w:r>
      <w:r>
        <w:t xml:space="preserve">has become the chief driver of fintech adoption in Venezuela. Mobile banking applications and QR code payments have seen exponential growth as citizens bypassed the unreliable bolívar for digital alternatives led by cryptocurrencies like Bitcoin and USDT (Tether). Bankers are now tasked with integrating blockchain technologies into traditional banking infrastructures, creating a dual-system approach that satisfies both regulatory requirements and customer demand for speed.</w:t>
      </w:r>
    </w:p>
    <w:bookmarkEnd w:id="24"/>
    <w:bookmarkEnd w:id="25"/>
    <w:bookmarkStart w:id="26" w:name="X5285369d381a2bb628666e3ccbb2c3a3dc320e7"/>
    <w:p>
      <w:pPr>
        <w:pStyle w:val="Heading2"/>
      </w:pPr>
      <w:r>
        <w:t xml:space="preserve">4. Strategic Adaptations in the Venezuelan Market</w:t>
      </w:r>
    </w:p>
    <w:p>
      <w:pPr>
        <w:pStyle w:val="FirstParagraph"/>
      </w:pPr>
      <w:r>
        <w:t xml:space="preserve">The resilience of banks in</w:t>
      </w:r>
      <w:r>
        <w:t xml:space="preserve"> </w:t>
      </w:r>
      <w:r>
        <w:rPr>
          <w:bCs/>
          <w:b/>
        </w:rPr>
        <w:t xml:space="preserve">Venezuela Caracas</w:t>
      </w:r>
      <w:r>
        <w:t xml:space="preserve"> </w:t>
      </w:r>
      <w:r>
        <w:t xml:space="preserve">can be attributed to three strategic pillars adopted by forward-thinking bankers.</w:t>
      </w:r>
    </w:p>
    <w:p>
      <w:pPr>
        <w:numPr>
          <w:ilvl w:val="0"/>
          <w:numId w:val="1001"/>
        </w:numPr>
        <w:pStyle w:val="Compact"/>
      </w:pPr>
      <w:r>
        <w:rPr>
          <w:bCs/>
          <w:b/>
        </w:rPr>
        <w:t xml:space="preserve">Multicurrency Account Structures:</w:t>
      </w:r>
      <w:r>
        <w:t xml:space="preserve"> </w:t>
      </w:r>
      <w:r>
        <w:t xml:space="preserve">Bankers have redesigned account offerings to allow seamless switching between Bolívares, US Dollars, and Euros. This protects client wealth from inflation and encourages deposit retention in stable currencies.</w:t>
      </w:r>
    </w:p>
    <w:p>
      <w:pPr>
        <w:numPr>
          <w:ilvl w:val="0"/>
          <w:numId w:val="1001"/>
        </w:numPr>
        <w:pStyle w:val="Compact"/>
      </w:pPr>
      <w:r>
        <w:rPr>
          <w:bCs/>
          <w:b/>
        </w:rPr>
        <w:t xml:space="preserve">Microfinance for Survival:</w:t>
      </w:r>
      <w:r>
        <w:t xml:space="preserve"> </w:t>
      </w:r>
      <w:r>
        <w:t xml:space="preserve">With large corporations struggling, bankers have pivoted toward micro-lending to small businesses and individuals engaged in import/export activities. These loans are often short-term and denominated in hard currency, reducing risk for the bank while providing liquidity to the real economy.</w:t>
      </w:r>
    </w:p>
    <w:p>
      <w:pPr>
        <w:numPr>
          <w:ilvl w:val="0"/>
          <w:numId w:val="1001"/>
        </w:numPr>
        <w:pStyle w:val="Compact"/>
      </w:pPr>
      <w:r>
        <w:rPr>
          <w:bCs/>
          <w:b/>
        </w:rPr>
        <w:t xml:space="preserve">Crypto-Banking Integration:</w:t>
      </w:r>
      <w:r>
        <w:t xml:space="preserve"> </w:t>
      </w:r>
      <w:r>
        <w:t xml:space="preserve">Several major banks in Caracas have begun exploring crypto-asset custody services. By allowing clients to hold digital assets within regulated banking frameworks, bankers provide a safe harbor for wealth preservation against local monetary instability.</w:t>
      </w:r>
    </w:p>
    <w:bookmarkEnd w:id="26"/>
    <w:bookmarkStart w:id="27" w:name="challenges-and-risks"/>
    <w:p>
      <w:pPr>
        <w:pStyle w:val="Heading2"/>
      </w:pPr>
      <w:r>
        <w:t xml:space="preserve">5. Challenges and Risks</w:t>
      </w:r>
    </w:p>
    <w:p>
      <w:pPr>
        <w:pStyle w:val="FirstParagraph"/>
      </w:pPr>
      <w:r>
        <w:t xml:space="preserve">Despite these adaptations, the</w:t>
      </w:r>
      <w:r>
        <w:t xml:space="preserve"> </w:t>
      </w:r>
      <w:r>
        <w:rPr>
          <w:iCs/>
          <w:i/>
        </w:rPr>
        <w:t xml:space="preserve">Banker</w:t>
      </w:r>
      <w:r>
        <w:t xml:space="preserve"> </w:t>
      </w:r>
      <w:r>
        <w:t xml:space="preserve">in</w:t>
      </w:r>
      <w:r>
        <w:t xml:space="preserve"> </w:t>
      </w:r>
      <w:r>
        <w:rPr>
          <w:bCs/>
          <w:b/>
        </w:rPr>
        <w:t xml:space="preserve">Venezuela Caracas</w:t>
      </w:r>
      <w:r>
        <w:t xml:space="preserve"> </w:t>
      </w:r>
      <w:r>
        <w:t xml:space="preserve">faces significant hurdles:</w:t>
      </w:r>
    </w:p>
    <w:p>
      <w:pPr>
        <w:numPr>
          <w:ilvl w:val="0"/>
          <w:numId w:val="1002"/>
        </w:numPr>
        <w:pStyle w:val="Compact"/>
      </w:pPr>
      <w:r>
        <w:rPr>
          <w:bCs/>
          <w:b/>
        </w:rPr>
        <w:t xml:space="preserve">Inflation Volatility:</w:t>
      </w:r>
    </w:p>
    <w:p>
      <w:pPr>
        <w:numPr>
          <w:ilvl w:val="0"/>
          <w:numId w:val="1002"/>
        </w:numPr>
        <w:pStyle w:val="Compact"/>
      </w:pPr>
      <w:r>
        <w:t xml:space="preserve">Talent Drain:The exodus of skilled financial professionals has created a knowledge gap. Training new bankers requires significant resources in an unstable economy.</w:t>
      </w:r>
    </w:p>
    <w:p>
      <w:pPr>
        <w:numPr>
          <w:ilvl w:val="0"/>
          <w:numId w:val="1002"/>
        </w:numPr>
        <w:pStyle w:val="Compact"/>
      </w:pPr>
      <w:r>
        <w:t xml:space="preserve">Regulatory Uncertainty: Frequent changes in monetary policy mean that compliance strategies must be updated weekly, not annually.</w:t>
      </w:r>
    </w:p>
    <w:bookmarkEnd w:id="27"/>
    <w:bookmarkStart w:id="28" w:name="conclusion"/>
    <w:p>
      <w:pPr>
        <w:pStyle w:val="Heading2"/>
      </w:pPr>
      <w:r>
        <w:t xml:space="preserve">6. Conclusion</w:t>
      </w:r>
    </w:p>
    <w:p>
      <w:pPr>
        <w:pStyle w:val="FirstParagraph"/>
      </w:pPr>
      <w:r>
        <w:t xml:space="preserve">The case of the</w:t>
      </w:r>
      <w:r>
        <w:t xml:space="preserve"> </w:t>
      </w:r>
      <w:r>
        <w:rPr>
          <w:iCs/>
          <w:i/>
        </w:rPr>
        <w:t xml:space="preserve">Banker</w:t>
      </w:r>
      <w:r>
        <w:t xml:space="preserve"> </w:t>
      </w:r>
      <w:r>
        <w:t xml:space="preserve">in</w:t>
      </w:r>
      <w:r>
        <w:t xml:space="preserve"> </w:t>
      </w:r>
      <w:r>
        <w:rPr>
          <w:bCs/>
          <w:b/>
        </w:rPr>
        <w:t xml:space="preserve">Venezuela Caracas</w:t>
      </w:r>
      <w:r>
        <w:t xml:space="preserve"> </w:t>
      </w:r>
      <w:r>
        <w:t xml:space="preserve">serves as a powerful testament to human adaptability within financial systems. The traditional banker, reliant on stability and growth metrics, has been forced to evolve into a crisis manager and technological innovator. While the economic landscape remains challenging, the emergence of digital solutions and multicurrency strategies offers a path toward normalization.</w:t>
      </w:r>
    </w:p>
    <w:p>
      <w:pPr>
        <w:pStyle w:val="BodyText"/>
      </w:pPr>
      <w:r>
        <w:t xml:space="preserve">This case study underscores that in high-risk environments like Venezuela, the role of the banker is not merely custodial but catalytic. By facilitating trade, preserving wealth through technology, and navigating complex regulatory waters, Venezuelan bankers are laying the groundwork for future financial recovery. For global financial institutions watching from abroad, understanding this unique adaptation provides critical insights into how banking models can remain resilient under extreme duress.</w:t>
      </w:r>
    </w:p>
    <w:p>
      <w:pPr>
        <w:pStyle w:val="BodyText"/>
      </w:pPr>
      <w:r>
        <w:t xml:space="preserve">As</w:t>
      </w:r>
      <w:r>
        <w:t xml:space="preserve"> </w:t>
      </w:r>
      <w:r>
        <w:rPr>
          <w:bCs/>
          <w:b/>
        </w:rPr>
        <w:t xml:space="preserve">Venezuela Caracas</w:t>
      </w:r>
      <w:r>
        <w:t xml:space="preserve"> </w:t>
      </w:r>
      <w:r>
        <w:t xml:space="preserve">continues its slow journey toward economic stabilization, the lessons learned by these bankers will be invaluable. They have proven that even in the face of hyperinflation and isolation, financial intermediaries can maintain their essential function: connecting savers with borrowers, and stability with opportunity.</w:t>
      </w:r>
    </w:p>
    <w:p>
      <w:pPr>
        <w:pStyle w:val="BodyText"/>
      </w:pPr>
      <w:r>
        <w:t xml:space="preserve">© 2023 Financial Resilience Institute. All rights reserved. This case study is intended for educational purposes regarding banking practices in emerging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Banker in Venezuela Caracas</dc:title>
  <dc:creator/>
  <dc:language>en</dc:language>
  <cp:keywords/>
  <dcterms:created xsi:type="dcterms:W3CDTF">2026-07-29T07:20:04Z</dcterms:created>
  <dcterms:modified xsi:type="dcterms:W3CDTF">2026-07-29T07:20:04Z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