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Netherlands</w:t>
      </w:r>
      <w:r>
        <w:t xml:space="preserve"> </w:t>
      </w:r>
      <w:r>
        <w:t xml:space="preserve">Amsterdam</w:t>
      </w:r>
    </w:p>
    <w:bookmarkStart w:id="31" w:name="Xfa006fe73d9836ad8643b97aa030a3cbf8f8901"/>
    <w:p>
      <w:pPr>
        <w:pStyle w:val="Heading1"/>
      </w:pPr>
      <w:r>
        <w:t xml:space="preserve">Case Study: The Integration and Impact of the Biologist in Netherlands Amsterdam</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Active Case Study</w:t>
      </w:r>
      <w:r>
        <w:br/>
      </w:r>
    </w:p>
    <w:p>
      <w:pPr>
        <w:pStyle w:val="BodyText"/>
      </w:pPr>
      <w:r>
        <w:t xml:space="preserve">Distribution:</w:t>
      </w:r>
    </w:p>
    <w:p>
      <w:pPr>
        <w:pStyle w:val="BodyText"/>
      </w:pPr>
      <w:r>
        <w:t xml:space="preserve">This document serves as a comprehensive analysis of the professional ecosystem for a</w:t>
      </w:r>
      <w:r>
        <w:t xml:space="preserve"> </w:t>
      </w:r>
      <w:r>
        <w:t xml:space="preserve">Biologist</w:t>
      </w:r>
      <w:r>
        <w:t xml:space="preserve"> </w:t>
      </w:r>
      <w:r>
        <w:t xml:space="preserve">operating within the unique urban and environmental landscape of</w:t>
      </w:r>
    </w:p>
    <w:p>
      <w:pPr>
        <w:pStyle w:val="BodyText"/>
      </w:pPr>
      <w:r>
        <w:t xml:space="preserve">Netherlands Amsterdam&lt;/&gt;.</w:t>
      </w:r>
    </w:p>
    <w:bookmarkStart w:id="20" w:name="executive-summary"/>
    <w:p>
      <w:pPr>
        <w:pStyle w:val="Heading2"/>
      </w:pPr>
      <w:r>
        <w:t xml:space="preserve">1. Executive Summary</w:t>
      </w:r>
    </w:p>
    <w:p>
      <w:pPr>
        <w:pStyle w:val="FirstParagraph"/>
      </w:pPr>
      <w:r>
        <w:t xml:space="preserve">The city of Amsterdam, situated in the heart of the</w:t>
      </w:r>
      <w:r>
        <w:t xml:space="preserve"> </w:t>
      </w:r>
      <w:r>
        <w:rPr>
          <w:bCs/>
          <w:b/>
        </w:rPr>
        <w:t xml:space="preserve">Netherlands Amsterdam</w:t>
      </w:r>
      <w:r>
        <w:t xml:space="preserve">, presents a paradoxical yet synergistic environment for biological sciences. It is a high-density urban center characterized by historic water management infrastructure, while simultaneously serving as a global hub for biotechnology research and sustainable urban planning. This case study explores the multifaceted role of the</w:t>
      </w:r>
      <w:r>
        <w:t xml:space="preserve"> </w:t>
      </w:r>
      <w:r>
        <w:t xml:space="preserve">Biologist</w:t>
      </w:r>
      <w:r>
        <w:t xml:space="preserve"> </w:t>
      </w:r>
      <w:r>
        <w:t xml:space="preserve">in this specific geographic context, examining their contributions to public health, environmental conservation, biodiversity monitoring, and innovative biotech applications.</w:t>
      </w:r>
    </w:p>
    <w:p>
      <w:pPr>
        <w:pStyle w:val="BodyText"/>
      </w:pPr>
      <w:r>
        <w:t xml:space="preserve">The primary objective of this document is to delineate how a</w:t>
      </w:r>
      <w:r>
        <w:t xml:space="preserve"> </w:t>
      </w:r>
      <w:r>
        <w:t xml:space="preserve">Biologist</w:t>
      </w:r>
      <w:r>
        <w:t xml:space="preserve"> </w:t>
      </w:r>
      <w:r>
        <w:t xml:space="preserve">navigates the regulatory frameworks of the Netherlands while addressing the specific ecological challenges posed by Amsterdam’s dense urban fabric. By understanding these dynamics, stakeholders can better appreciate the critical value added by biological expertise in maintaining both human health and environmental integrity in</w:t>
      </w:r>
      <w:r>
        <w:t xml:space="preserve"> </w:t>
      </w:r>
      <w:r>
        <w:rPr>
          <w:bCs/>
          <w:b/>
        </w:rPr>
        <w:t xml:space="preserve">Netherlands Amsterdam</w:t>
      </w:r>
      <w:r>
        <w:t xml:space="preserve">.</w:t>
      </w:r>
    </w:p>
    <w:bookmarkEnd w:id="20"/>
    <w:bookmarkStart w:id="21" w:name="Xada7263b072e96069ba40bba28eb7a737639abd"/>
    <w:p>
      <w:pPr>
        <w:pStyle w:val="Heading2"/>
      </w:pPr>
      <w:r>
        <w:t xml:space="preserve">2. Contextual Background: The Unique Ecology of Netherlands Amsterdam</w:t>
      </w:r>
    </w:p>
    <w:p>
      <w:pPr>
        <w:pStyle w:val="FirstParagraph"/>
      </w:pPr>
      <w:r>
        <w:t xml:space="preserve">To understand the role of the</w:t>
      </w:r>
      <w:r>
        <w:t xml:space="preserve"> </w:t>
      </w:r>
      <w:r>
        <w:t xml:space="preserve">Biologist</w:t>
      </w:r>
      <w:r>
        <w:t xml:space="preserve">, one must first understand the environment they serve.</w:t>
      </w:r>
      <w:r>
        <w:t xml:space="preserve"> </w:t>
      </w:r>
      <w:r>
        <w:rPr>
          <w:bCs/>
          <w:b/>
        </w:rPr>
        <w:t xml:space="preserve">Netherlands Amsterdam</w:t>
      </w:r>
      <w:r>
        <w:t xml:space="preserve"> </w:t>
      </w:r>
      <w:r>
        <w:t xml:space="preserve">is not merely a city; it is a engineered ecosystem built below sea level, relying on sophisticated hydraulic engineering and biological filtration systems. The waterways that crisscross the city are vital arteries for transport, waste management, and recreation.</w:t>
      </w:r>
    </w:p>
    <w:p>
      <w:pPr>
        <w:pStyle w:val="BodyText"/>
      </w:pPr>
      <w:r>
        <w:t xml:space="preserve">The local ecology includes both terrestrial urban wildlife (such as red foxes, various bird species including egrets and herons) and aquatic life within the canals and the IJ Bay. Furthermore, Amsterdam is a node in broader Dutch conservation efforts. The</w:t>
      </w:r>
      <w:r>
        <w:t xml:space="preserve"> </w:t>
      </w:r>
      <w:r>
        <w:t xml:space="preserve">Biologist</w:t>
      </w:r>
      <w:r>
        <w:t xml:space="preserve"> </w:t>
      </w:r>
      <w:r>
        <w:t xml:space="preserve">in this region must possess specialized knowledge regarding wetland ecology, water quality analysis, and urban biodiversity management. The proximity to rural agricultural lands also necessitates an understanding of agro-ecological interfaces where pesticides and runoff impact local urban watersheds.</w:t>
      </w:r>
    </w:p>
    <w:bookmarkEnd w:id="21"/>
    <w:bookmarkStart w:id="25" w:name="Xe55a23347051553e000f64596df29c44a26de7d"/>
    <w:p>
      <w:pPr>
        <w:pStyle w:val="Heading2"/>
      </w:pPr>
      <w:r>
        <w:t xml:space="preserve">3. Professional Domains of the Biologist in Netherlands Amsterdam</w:t>
      </w:r>
    </w:p>
    <w:p>
      <w:pPr>
        <w:pStyle w:val="FirstParagraph"/>
      </w:pPr>
      <w:r>
        <w:t xml:space="preserve">The scope of work for a</w:t>
      </w:r>
      <w:r>
        <w:t xml:space="preserve"> </w:t>
      </w:r>
      <w:r>
        <w:t xml:space="preserve">Biologist</w:t>
      </w:r>
      <w:r>
        <w:t xml:space="preserve"> </w:t>
      </w:r>
      <w:r>
        <w:t xml:space="preserve">in</w:t>
      </w:r>
      <w:r>
        <w:t xml:space="preserve"> </w:t>
      </w:r>
      <w:r>
        <w:rPr>
          <w:bCs/>
          <w:b/>
        </w:rPr>
        <w:t xml:space="preserve">Netherlands Amsterdam</w:t>
      </w:r>
      <w:r>
        <w:t xml:space="preserve"> </w:t>
      </w:r>
      <w:r>
        <w:t xml:space="preserve">is diverse. We categorize their primary domains of influence into three key areas:</w:t>
      </w:r>
    </w:p>
    <w:bookmarkStart w:id="22" w:name="X271ab209f3760ebcceb3375c06e90f4957b1f2b"/>
    <w:p>
      <w:pPr>
        <w:pStyle w:val="Heading3"/>
      </w:pPr>
      <w:r>
        <w:t xml:space="preserve">a) Environmental Monitoring and Water Quality Management</w:t>
      </w:r>
    </w:p>
    <w:p>
      <w:pPr>
        <w:pStyle w:val="FirstParagraph"/>
      </w:pPr>
      <w:r>
        <w:t xml:space="preserve">Water is life in</w:t>
      </w:r>
    </w:p>
    <w:p>
      <w:pPr>
        <w:pStyle w:val="BodyText"/>
      </w:pPr>
      <w:r>
        <w:t xml:space="preserve">Netherlands Amsterdam. The city manages its own water authority (Het Waterschap), which relies heavily on biological indicators to assess the health of its waters. A</w:t>
      </w:r>
      <w:r>
        <w:t xml:space="preserve"> </w:t>
      </w:r>
      <w:r>
        <w:t xml:space="preserve">Biologist</w:t>
      </w:r>
      <w:r>
        <w:t xml:space="preserve"> </w:t>
      </w:r>
      <w:r>
        <w:t xml:space="preserve">here may be responsible for:</w:t>
      </w:r>
    </w:p>
    <w:p>
      <w:pPr>
        <w:numPr>
          <w:ilvl w:val="0"/>
          <w:numId w:val="1001"/>
        </w:numPr>
        <w:pStyle w:val="Compact"/>
      </w:pPr>
      <w:r>
        <w:rPr>
          <w:bCs/>
          <w:b/>
        </w:rPr>
        <w:t xml:space="preserve">Eutrophication Analysis:</w:t>
      </w:r>
    </w:p>
    <w:p>
      <w:pPr>
        <w:numPr>
          <w:ilvl w:val="0"/>
          <w:numId w:val="1001"/>
        </w:numPr>
        <w:pStyle w:val="Compact"/>
      </w:pPr>
      <w:r>
        <w:rPr>
          <w:bCs/>
          <w:b/>
        </w:rPr>
        <w:t xml:space="preserve">Benthic Macroinvertebrate Studies:</w:t>
      </w:r>
    </w:p>
    <w:p>
      <w:pPr>
        <w:numPr>
          <w:ilvl w:val="0"/>
          <w:numId w:val="1001"/>
        </w:numPr>
        <w:pStyle w:val="Compact"/>
      </w:pPr>
      <w:r>
        <w:rPr>
          <w:bCs/>
          <w:b/>
        </w:rPr>
        <w:t xml:space="preserve">Nutrient Cycle Management:</w:t>
      </w:r>
    </w:p>
    <w:bookmarkEnd w:id="22"/>
    <w:bookmarkStart w:id="23" w:name="b-public-health-and-epidemiology"/>
    <w:p>
      <w:pPr>
        <w:pStyle w:val="Heading3"/>
      </w:pPr>
      <w:r>
        <w:t xml:space="preserve">b) Public Health and Epidemiology</w:t>
      </w:r>
    </w:p>
    <w:p>
      <w:pPr>
        <w:pStyle w:val="FirstParagraph"/>
      </w:pPr>
      <w:r>
        <w:t xml:space="preserve">In the post-pandemic era, the role of the</w:t>
      </w:r>
      <w:r>
        <w:t xml:space="preserve"> </w:t>
      </w:r>
      <w:r>
        <w:t xml:space="preserve">Biologist</w:t>
      </w:r>
      <w:r>
        <w:t xml:space="preserve"> </w:t>
      </w:r>
      <w:r>
        <w:t xml:space="preserve">in public health has grown exponentially. In</w:t>
      </w:r>
      <w:r>
        <w:t xml:space="preserve"> </w:t>
      </w:r>
      <w:r>
        <w:rPr>
          <w:bCs/>
          <w:b/>
        </w:rPr>
        <w:t xml:space="preserve">Netherlands Amsterdam</w:t>
      </w:r>
      <w:r>
        <w:t xml:space="preserve">, biologists collaborate with the GGD (Municipal Health Service). Their tasks include:</w:t>
      </w:r>
    </w:p>
    <w:p>
      <w:pPr>
        <w:numPr>
          <w:ilvl w:val="0"/>
          <w:numId w:val="1002"/>
        </w:numPr>
        <w:pStyle w:val="Compact"/>
      </w:pPr>
      <w:r>
        <w:rPr>
          <w:bCs/>
          <w:b/>
        </w:rPr>
        <w:t xml:space="preserve">Vectored Disease Surveillance:</w:t>
      </w:r>
    </w:p>
    <w:p>
      <w:pPr>
        <w:numPr>
          <w:ilvl w:val="0"/>
          <w:numId w:val="1000"/>
        </w:numPr>
        <w:pStyle w:val="Compact"/>
      </w:pPr>
      <w:r>
        <w:t xml:space="preserve">Trajectory of tick-borne diseases or mosquito-borne viruses in urban parks.</w:t>
      </w:r>
    </w:p>
    <w:p>
      <w:pPr>
        <w:numPr>
          <w:ilvl w:val="0"/>
          <w:numId w:val="1002"/>
        </w:numPr>
        <w:pStyle w:val="Compact"/>
      </w:pPr>
      <w:r>
        <w:rPr>
          <w:bCs/>
          <w:b/>
        </w:rPr>
        <w:t xml:space="preserve">Air Quality Bio-assays:</w:t>
      </w:r>
    </w:p>
    <w:p>
      <w:pPr>
        <w:numPr>
          <w:ilvl w:val="0"/>
          <w:numId w:val="1000"/>
        </w:numPr>
        <w:pStyle w:val="Compact"/>
      </w:pPr>
      <w:r>
        <w:t xml:space="preserve">Analyzing the impact of air pollution on local flora and, by extension, human respiratory health.</w:t>
      </w:r>
    </w:p>
    <w:p>
      <w:pPr>
        <w:numPr>
          <w:ilvl w:val="0"/>
          <w:numId w:val="1002"/>
        </w:numPr>
        <w:pStyle w:val="Compact"/>
      </w:pPr>
      <w:r>
        <w:rPr>
          <w:bCs/>
          <w:b/>
        </w:rPr>
        <w:t xml:space="preserve">Infectious Disease Modeling:</w:t>
      </w:r>
    </w:p>
    <w:p>
      <w:pPr>
        <w:numPr>
          <w:ilvl w:val="0"/>
          <w:numId w:val="1000"/>
        </w:numPr>
        <w:pStyle w:val="Compact"/>
      </w:pPr>
      <w:r>
        <w:t xml:space="preserve">Using biological data to predict outbreaks within densely populated urban areas.</w:t>
      </w:r>
    </w:p>
    <w:bookmarkEnd w:id="23"/>
    <w:bookmarkStart w:id="24" w:name="c-biotechnology-and-green-innovation"/>
    <w:p>
      <w:pPr>
        <w:pStyle w:val="Heading3"/>
      </w:pPr>
      <w:r>
        <w:t xml:space="preserve">c) Biotechnology and Green Innovation</w:t>
      </w:r>
    </w:p>
    <w:p>
      <w:pPr>
        <w:pStyle w:val="FirstParagraph"/>
      </w:pPr>
      <w:r>
        <w:t xml:space="preserve">Netherlands Amsterdam</w:t>
      </w:r>
    </w:p>
    <w:p>
      <w:pPr>
        <w:pStyle w:val="BodyText"/>
      </w:pPr>
      <w:r>
        <w:t xml:space="preserve">i am home to a thriving life sciences sector, anchored by institutions like the Amsterdam Institute for Molecular and Life Sciences (AMOLF) and various startup incubators in the Bijlmer Bijlmermeer area. Here, a</w:t>
      </w:r>
      <w:r>
        <w:t xml:space="preserve"> </w:t>
      </w:r>
      <w:r>
        <w:t xml:space="preserve">Biologist</w:t>
      </w:r>
      <w:r>
        <w:t xml:space="preserve"> </w:t>
      </w:r>
      <w:r>
        <w:t xml:space="preserve">might work on:</w:t>
      </w:r>
    </w:p>
    <w:p>
      <w:pPr>
        <w:numPr>
          <w:ilvl w:val="0"/>
          <w:numId w:val="1003"/>
        </w:numPr>
        <w:pStyle w:val="Compact"/>
      </w:pPr>
      <w:r>
        <w:rPr>
          <w:bCs/>
          <w:b/>
        </w:rPr>
        <w:t xml:space="preserve">Synthetic Biology:</w:t>
      </w:r>
    </w:p>
    <w:p>
      <w:pPr>
        <w:numPr>
          <w:ilvl w:val="0"/>
          <w:numId w:val="1000"/>
        </w:numPr>
        <w:pStyle w:val="Compact"/>
      </w:pPr>
      <w:r>
        <w:t xml:space="preserve">An developing bacteria that can digest plastic waste or produce biofuels.</w:t>
      </w:r>
    </w:p>
    <w:p>
      <w:pPr>
        <w:numPr>
          <w:ilvl w:val="0"/>
          <w:numId w:val="1003"/>
        </w:numPr>
        <w:pStyle w:val="Compact"/>
      </w:pPr>
      <w:r>
        <w:t xml:space="preserve">Agricultural Technology (AgriTech):</w:t>
      </w:r>
    </w:p>
    <w:p>
      <w:pPr>
        <w:numPr>
          <w:ilvl w:val="0"/>
          <w:numId w:val="1000"/>
        </w:numPr>
        <w:pStyle w:val="Compact"/>
      </w:pPr>
      <w:r>
        <w:t xml:space="preserve">An creating vertical farming solutions suitable for urban spaces in Amsterdam, maximizing yield in limited footprints.</w:t>
      </w:r>
    </w:p>
    <w:p>
      <w:pPr>
        <w:numPr>
          <w:ilvl w:val="0"/>
          <w:numId w:val="1003"/>
        </w:numPr>
        <w:pStyle w:val="Compact"/>
      </w:pPr>
      <w:r>
        <w:rPr>
          <w:bCs/>
          <w:b/>
        </w:rPr>
        <w:t xml:space="preserve">Biodiversity Informatics:</w:t>
      </w:r>
    </w:p>
    <w:p>
      <w:pPr>
        <w:numPr>
          <w:ilvl w:val="0"/>
          <w:numId w:val="1000"/>
        </w:numPr>
        <w:pStyle w:val="Compact"/>
      </w:pPr>
      <w:r>
        <w:t xml:space="preserve">An using AI to monitor bird and bat populations across the city’s green corridors.</w:t>
      </w:r>
    </w:p>
    <w:bookmarkEnd w:id="24"/>
    <w:bookmarkEnd w:id="25"/>
    <w:bookmarkStart w:id="26" w:name="X8265fab9deb8e746c0c4144dc405969743940dd"/>
    <w:p>
      <w:pPr>
        <w:pStyle w:val="Heading2"/>
      </w:pPr>
      <w:r>
        <w:t xml:space="preserve">4. Case Scenario: The Amstel River Restoration Project</w:t>
      </w:r>
    </w:p>
    <w:p>
      <w:pPr>
        <w:pStyle w:val="FirstParagraph"/>
      </w:pPr>
      <w:r>
        <w:t xml:space="preserve">To illustrate the practical application of biological expertise, we examine a hypothetical but representative case study: The Amstel River Restoration Project in</w:t>
      </w:r>
      <w:r>
        <w:t xml:space="preserve"> </w:t>
      </w:r>
      <w:r>
        <w:rPr>
          <w:bCs/>
          <w:b/>
        </w:rPr>
        <w:t xml:space="preserve">Netherlands Amsterdam</w:t>
      </w:r>
      <w:r>
        <w:t xml:space="preserve">.</w:t>
      </w:r>
    </w:p>
    <w:p>
      <w:pPr>
        <w:pStyle w:val="BodyText"/>
      </w:pPr>
      <w:r>
        <w:t xml:space="preserve">The Challenge:</w:t>
      </w:r>
    </w:p>
    <w:p>
      <w:pPr>
        <w:pStyle w:val="BodyText"/>
      </w:pPr>
      <w:r>
        <w:t xml:space="preserve">The river flowing through Amsterdam has suffered from historical industrial pollution and modern nutrient overload, leading to declining biodiversity and occasional unsafe swimming conditions. The municipal government sought to restore the ecological balance of the river while maintaining its utility for tourism and transport.</w:t>
      </w:r>
    </w:p>
    <w:p>
      <w:pPr>
        <w:pStyle w:val="BodyText"/>
      </w:pPr>
      <w:r>
        <w:t xml:space="preserve">The Biological Intervention:</w:t>
      </w:r>
    </w:p>
    <w:p>
      <w:pPr>
        <w:pStyle w:val="BodyText"/>
      </w:pPr>
      <w:r>
        <w:t xml:space="preserve">A team led by a senior</w:t>
      </w:r>
      <w:r>
        <w:t xml:space="preserve"> </w:t>
      </w:r>
      <w:r>
        <w:t xml:space="preserve">Biologist</w:t>
      </w:r>
      <w:r>
        <w:t xml:space="preserve"> </w:t>
      </w:r>
      <w:r>
        <w:t xml:space="preserve">was commissioned. Their approach involved:</w:t>
      </w:r>
    </w:p>
    <w:p>
      <w:pPr>
        <w:numPr>
          <w:ilvl w:val="0"/>
          <w:numId w:val="1004"/>
        </w:numPr>
        <w:pStyle w:val="Compact"/>
      </w:pPr>
      <w:r>
        <w:rPr>
          <w:bCs/>
          <w:b/>
        </w:rPr>
        <w:t xml:space="preserve">Baseline Survey:</w:t>
      </w:r>
    </w:p>
    <w:p>
      <w:pPr>
        <w:numPr>
          <w:ilvl w:val="0"/>
          <w:numId w:val="1000"/>
        </w:numPr>
        <w:pStyle w:val="Compact"/>
      </w:pPr>
      <w:r>
        <w:t xml:space="preserve">An extensive survey of existing fish stocks, macrophytes (aquatic plants), and microbial communities.</w:t>
      </w:r>
    </w:p>
    <w:p>
      <w:pPr>
        <w:numPr>
          <w:ilvl w:val="0"/>
          <w:numId w:val="1004"/>
        </w:numPr>
        <w:pStyle w:val="Compact"/>
      </w:pPr>
      <w:r>
        <w:rPr>
          <w:bCs/>
          <w:b/>
        </w:rPr>
        <w:t xml:space="preserve">Natural Floodplain Restoration:</w:t>
      </w:r>
    </w:p>
    <w:p>
      <w:pPr>
        <w:numPr>
          <w:ilvl w:val="0"/>
          <w:numId w:val="1000"/>
        </w:numPr>
        <w:pStyle w:val="Compact"/>
      </w:pPr>
      <w:r>
        <w:t xml:space="preserve">An Removing concrete embankments in select areas to allow for natural sedimentation and the growth of riparian vegetation, which acts as a natural filter.</w:t>
      </w:r>
    </w:p>
    <w:p>
      <w:pPr>
        <w:numPr>
          <w:ilvl w:val="0"/>
          <w:numId w:val="1004"/>
        </w:numPr>
        <w:pStyle w:val="Compact"/>
      </w:pPr>
      <w:r>
        <w:t xml:space="preserve">Invasive Species Management:</w:t>
      </w:r>
    </w:p>
    <w:p>
      <w:pPr>
        <w:numPr>
          <w:ilvl w:val="0"/>
          <w:numId w:val="1000"/>
        </w:numPr>
        <w:pStyle w:val="Compact"/>
      </w:pPr>
      <w:r>
        <w:t xml:space="preserve">An Identifying and mitigating the spread of invasive plant species that were outcompeting native flora essential for local fauna.</w:t>
      </w:r>
    </w:p>
    <w:p>
      <w:pPr>
        <w:numPr>
          <w:ilvl w:val="0"/>
          <w:numId w:val="1004"/>
        </w:numPr>
        <w:pStyle w:val="Compact"/>
      </w:pPr>
      <w:r>
        <w:t xml:space="preserve">Community Engagement:</w:t>
      </w:r>
    </w:p>
    <w:p>
      <w:pPr>
        <w:numPr>
          <w:ilvl w:val="0"/>
          <w:numId w:val="1000"/>
        </w:numPr>
        <w:pStyle w:val="Compact"/>
      </w:pPr>
      <w:r>
        <w:t xml:space="preserve">An Educating residents of</w:t>
      </w:r>
    </w:p>
    <w:p>
      <w:pPr>
        <w:numPr>
          <w:ilvl w:val="0"/>
          <w:numId w:val="1000"/>
        </w:numPr>
        <w:pStyle w:val="Compact"/>
      </w:pPr>
      <w:r>
        <w:t xml:space="preserve">Netherlands Amsterdam</w:t>
      </w:r>
    </w:p>
    <w:p>
      <w:pPr>
        <w:numPr>
          <w:ilvl w:val="0"/>
          <w:numId w:val="1000"/>
        </w:numPr>
        <w:pStyle w:val="Compact"/>
      </w:pPr>
      <w:r>
        <w:t xml:space="preserve">i about the importance of clean water, turning citizens into "bio-monitor" volunteers who report observations via a mobile app.</w:t>
      </w:r>
    </w:p>
    <w:p>
      <w:pPr>
        <w:pStyle w:val="FirstParagraph"/>
      </w:pPr>
      <w:r>
        <w:t xml:space="preserve">The Outcome:</w:t>
      </w:r>
    </w:p>
    <w:p>
      <w:pPr>
        <w:pStyle w:val="BodyText"/>
      </w:pPr>
      <w:r>
        <w:t xml:space="preserve">Within three years, the</w:t>
      </w:r>
      <w:r>
        <w:t xml:space="preserve"> </w:t>
      </w:r>
      <w:r>
        <w:t xml:space="preserve">Biologist</w:t>
      </w:r>
      <w:r>
        <w:t xml:space="preserve"> </w:t>
      </w:r>
    </w:p>
    <w:bookmarkEnd w:id="26"/>
    <w:bookmarkStart w:id="27" w:name="regulatory-and-ethical-considerations"/>
    <w:p>
      <w:pPr>
        <w:pStyle w:val="Heading2"/>
      </w:pPr>
      <w:r>
        <w:t xml:space="preserve">5. Regulatory and Ethical Considerations</w:t>
      </w:r>
    </w:p>
    <w:p>
      <w:pPr>
        <w:pStyle w:val="FirstParagraph"/>
      </w:pPr>
      <w:r>
        <w:t xml:space="preserve">A</w:t>
      </w:r>
      <w:r>
        <w:t xml:space="preserve"> </w:t>
      </w:r>
      <w:r>
        <w:t xml:space="preserve">Biologist</w:t>
      </w:r>
      <w:r>
        <w:t xml:space="preserve"> </w:t>
      </w:r>
      <w:r>
        <w:t xml:space="preserve">working in</w:t>
      </w:r>
      <w:r>
        <w:t xml:space="preserve"> </w:t>
      </w:r>
      <w:r>
        <w:rPr>
          <w:bCs/>
          <w:b/>
        </w:rPr>
        <w:t xml:space="preserve">Netherlands Amsterdam</w:t>
      </w:r>
    </w:p>
    <w:p>
      <w:pPr>
        <w:pStyle w:val="BodyText"/>
      </w:pPr>
      <w:r>
        <w:t xml:space="preserve">i must adhere to strict national and EU regulations. This includes compliance with the EU Water Framework Directive, which sets quality standards for surface waters. Additionally, ethical considerations regarding animal testing (if conducting research at local universities) are governed by the Dutch Central Authority for Scientific Procedures on Animals (COGEM). The</w:t>
      </w:r>
      <w:r>
        <w:t xml:space="preserve"> </w:t>
      </w:r>
      <w:r>
        <w:t xml:space="preserve">Biologist</w:t>
      </w:r>
      <w:r>
        <w:t xml:space="preserve"> </w:t>
      </w:r>
      <w:r>
        <w:t xml:space="preserve">must ensure that all fieldwork in urban parks respects wildlife welfare and does not disrupt public safety.</w:t>
      </w:r>
    </w:p>
    <w:bookmarkEnd w:id="27"/>
    <w:bookmarkStart w:id="28" w:name="skills-and-competencies-required"/>
    <w:p>
      <w:pPr>
        <w:pStyle w:val="Heading2"/>
      </w:pPr>
      <w:r>
        <w:t xml:space="preserve">6. Skills and Competencies Required</w:t>
      </w:r>
    </w:p>
    <w:p>
      <w:pPr>
        <w:pStyle w:val="FirstParagraph"/>
      </w:pPr>
      <w:r>
        <w:t xml:space="preserve">To succeed as a</w:t>
      </w:r>
      <w:r>
        <w:t xml:space="preserve"> </w:t>
      </w:r>
      <w:r>
        <w:t xml:space="preserve">Biologist</w:t>
      </w:r>
    </w:p>
    <w:p>
      <w:pPr>
        <w:pStyle w:val="BodyText"/>
      </w:pPr>
      <w:r>
        <w:t xml:space="preserve">i in this region, specific competencies are required:</w:t>
      </w:r>
    </w:p>
    <w:p>
      <w:pPr>
        <w:numPr>
          <w:ilvl w:val="0"/>
          <w:numId w:val="1005"/>
        </w:numPr>
        <w:pStyle w:val="Compact"/>
      </w:pPr>
      <w:r>
        <w:rPr>
          <w:bCs/>
          <w:b/>
        </w:rPr>
        <w:t xml:space="preserve">Linguistic Proficiency:</w:t>
      </w:r>
    </w:p>
    <w:p>
      <w:pPr>
        <w:numPr>
          <w:ilvl w:val="0"/>
          <w:numId w:val="1000"/>
        </w:numPr>
        <w:pStyle w:val="Compact"/>
      </w:pPr>
      <w:r>
        <w:t xml:space="preserve">An While Dutch is the official language of administration, English is widely used in scientific research. However, effective community engagement often requires fluent Dutch.</w:t>
      </w:r>
    </w:p>
    <w:p>
      <w:pPr>
        <w:numPr>
          <w:ilvl w:val="0"/>
          <w:numId w:val="1005"/>
        </w:numPr>
        <w:pStyle w:val="Compact"/>
      </w:pPr>
      <w:r>
        <w:t xml:space="preserve">Data Analysis Skills:</w:t>
      </w:r>
    </w:p>
    <w:p>
      <w:pPr>
        <w:numPr>
          <w:ilvl w:val="0"/>
          <w:numId w:val="1000"/>
        </w:numPr>
        <w:pStyle w:val="Compact"/>
      </w:pPr>
      <w:r>
        <w:t xml:space="preserve">AnFamiliarity with GIS (Geographic Information Systems) and statistical software for ecological data.</w:t>
      </w:r>
    </w:p>
    <w:p>
      <w:pPr>
        <w:numPr>
          <w:ilvl w:val="0"/>
          <w:numId w:val="1005"/>
        </w:numPr>
        <w:pStyle w:val="Compact"/>
      </w:pPr>
      <w:r>
        <w:t xml:space="preserve">Interdisciplinary Collaboration:</w:t>
      </w:r>
    </w:p>
    <w:p>
      <w:pPr>
        <w:numPr>
          <w:ilvl w:val="0"/>
          <w:numId w:val="1000"/>
        </w:numPr>
        <w:pStyle w:val="Compact"/>
      </w:pPr>
      <w:r>
        <w:t xml:space="preserve">i Ability to work with engineers, policymakers, and sociologists.</w:t>
      </w:r>
    </w:p>
    <w:p>
      <w:pPr>
        <w:numPr>
          <w:ilvl w:val="0"/>
          <w:numId w:val="1005"/>
        </w:numPr>
        <w:pStyle w:val="Compact"/>
      </w:pPr>
      <w:r>
        <w:t xml:space="preserve">Sustainability Mindset:</w:t>
      </w:r>
    </w:p>
    <w:p>
      <w:pPr>
        <w:numPr>
          <w:ilvl w:val="0"/>
          <w:numId w:val="1000"/>
        </w:numPr>
        <w:pStyle w:val="Compact"/>
      </w:pPr>
      <w:r>
        <w:t xml:space="preserve">An A deep understanding of circular economy principles prevalent in Dutch policy.</w:t>
      </w:r>
    </w:p>
    <w:bookmarkEnd w:id="28"/>
    <w:bookmarkStart w:id="29" w:name="conclusion"/>
    <w:p>
      <w:pPr>
        <w:pStyle w:val="Heading2"/>
      </w:pPr>
      <w:r>
        <w:t xml:space="preserve">7. Conclusion</w:t>
      </w:r>
    </w:p>
    <w:p>
      <w:pPr>
        <w:pStyle w:val="FirstParagraph"/>
      </w:pPr>
      <w:r>
        <w:t xml:space="preserve">The case study of the</w:t>
      </w:r>
      <w:r>
        <w:t xml:space="preserve"> </w:t>
      </w:r>
      <w:r>
        <w:t xml:space="preserve">Biologist</w:t>
      </w:r>
    </w:p>
    <w:p>
      <w:pPr>
        <w:pStyle w:val="BodyText"/>
      </w:pPr>
      <w:r>
        <w:t xml:space="preserve">i in</w:t>
      </w:r>
      <w:r>
        <w:t xml:space="preserve"> </w:t>
      </w:r>
      <w:r>
        <w:rPr>
          <w:bCs/>
          <w:b/>
        </w:rPr>
        <w:t xml:space="preserve">Netherlands Amsterdam</w:t>
      </w:r>
    </w:p>
    <w:p>
      <w:pPr>
        <w:pStyle w:val="BodyText"/>
      </w:pPr>
      <w:r>
        <w:t xml:space="preserve">i highlights the critical intersection between scientific inquiry and urban living. The city’s unique geography demands a highly specialized approach to biological sciences, where water management, public health, and biodiversity are inextricably linked.</w:t>
      </w:r>
    </w:p>
    <w:p>
      <w:pPr>
        <w:pStyle w:val="BodyText"/>
      </w:pPr>
      <w:r>
        <w:t xml:space="preserve">The</w:t>
      </w:r>
      <w:r>
        <w:t xml:space="preserve"> </w:t>
      </w:r>
      <w:r>
        <w:t xml:space="preserve">Biologist</w:t>
      </w:r>
    </w:p>
    <w:p>
      <w:pPr>
        <w:pStyle w:val="BodyText"/>
      </w:pPr>
      <w:r>
        <w:t xml:space="preserve">i is not merely an observer of nature in this context but an active participant in shaping the resilience of one of Europe’s most iconic cities. As</w:t>
      </w:r>
      <w:r>
        <w:t xml:space="preserve"> </w:t>
      </w:r>
      <w:r>
        <w:rPr>
          <w:bCs/>
          <w:b/>
        </w:rPr>
        <w:t xml:space="preserve">Netherlands Amsterdam</w:t>
      </w:r>
    </w:p>
    <w:p>
      <w:pPr>
        <w:pStyle w:val="BodyText"/>
      </w:pPr>
      <w:r>
        <w:t xml:space="preserve">i faces future challenges such as climate change, rising sea levels, and population growth, the role of the</w:t>
      </w:r>
      <w:r>
        <w:t xml:space="preserve"> </w:t>
      </w:r>
      <w:r>
        <w:t xml:space="preserve">Biologist</w:t>
      </w:r>
    </w:p>
    <w:p>
      <w:pPr>
        <w:pStyle w:val="BodyText"/>
      </w:pPr>
      <w:r>
        <w:t xml:space="preserve">i will only become more pivotal. Their work ensures that urbanization does not come at the expense of ecological health, but rather enhances it through innovative, science-based solutions.</w:t>
      </w:r>
    </w:p>
    <w:p>
      <w:pPr>
        <w:pStyle w:val="BodyText"/>
      </w:pPr>
      <w:r>
        <w:t xml:space="preserve">For students and professionals considering a career in this field,</w:t>
      </w:r>
      <w:r>
        <w:t xml:space="preserve"> </w:t>
      </w:r>
      <w:r>
        <w:rPr>
          <w:bCs/>
          <w:b/>
        </w:rPr>
        <w:t xml:space="preserve">Netherlands Amsterdam</w:t>
      </w:r>
    </w:p>
    <w:p>
      <w:pPr>
        <w:pStyle w:val="BodyText"/>
      </w:pPr>
      <w:r>
        <w:t xml:space="preserve">i offers unparalleled opportunities to apply biological principles to real-world problems. The city stands as a testament to what can be achieved when biology is integrated into the very fabric of urban design and policy-making.</w:t>
      </w:r>
    </w:p>
    <w:bookmarkEnd w:id="29"/>
    <w:bookmarkStart w:id="30" w:name="recommendations-for-stakeholders"/>
    <w:p>
      <w:pPr>
        <w:pStyle w:val="Heading2"/>
      </w:pPr>
      <w:r>
        <w:t xml:space="preserve">8. Recommendations for Stakeholders</w:t>
      </w:r>
    </w:p>
    <w:p>
      <w:pPr>
        <w:numPr>
          <w:ilvl w:val="0"/>
          <w:numId w:val="1006"/>
        </w:numPr>
        <w:pStyle w:val="Compact"/>
      </w:pPr>
      <w:r>
        <w:t xml:space="preserve">Municipal Government:</w:t>
      </w:r>
    </w:p>
    <w:p>
      <w:pPr>
        <w:numPr>
          <w:ilvl w:val="0"/>
          <w:numId w:val="1000"/>
        </w:numPr>
        <w:pStyle w:val="Compact"/>
      </w:pPr>
      <w:r>
        <w:t xml:space="preserve">i Should continue to fund interdisciplinary teams that include biologists in urban planning committees from the outset, rather than as an afterthought.</w:t>
      </w:r>
    </w:p>
    <w:p>
      <w:pPr>
        <w:numPr>
          <w:ilvl w:val="0"/>
          <w:numId w:val="1006"/>
        </w:numPr>
        <w:pStyle w:val="Compact"/>
      </w:pPr>
      <w:r>
        <w:t xml:space="preserve">Educational Institutions:</w:t>
      </w:r>
    </w:p>
    <w:p>
      <w:pPr>
        <w:numPr>
          <w:ilvl w:val="0"/>
          <w:numId w:val="1000"/>
        </w:numPr>
        <w:pStyle w:val="Compact"/>
      </w:pPr>
      <w:r>
        <w:t xml:space="preserve">i In Amsterdam should strengthen partnerships between universities and municipal water boards to provide students with practical field experience.</w:t>
      </w:r>
    </w:p>
    <w:p>
      <w:pPr>
        <w:numPr>
          <w:ilvl w:val="0"/>
          <w:numId w:val="1006"/>
        </w:numPr>
        <w:pStyle w:val="Compact"/>
      </w:pPr>
      <w:r>
        <w:t xml:space="preserve">Private Sector:</w:t>
      </w:r>
    </w:p>
    <w:p>
      <w:pPr>
        <w:numPr>
          <w:ilvl w:val="0"/>
          <w:numId w:val="1000"/>
        </w:numPr>
        <w:pStyle w:val="Compact"/>
      </w:pPr>
      <w:r>
        <w:t xml:space="preserve">i Biotech companies in</w:t>
      </w:r>
    </w:p>
    <w:p>
      <w:pPr>
        <w:numPr>
          <w:ilvl w:val="0"/>
          <w:numId w:val="1000"/>
        </w:numPr>
        <w:pStyle w:val="Compact"/>
      </w:pPr>
      <w:r>
        <w:t xml:space="preserve">Netherlands Amsterdam</w:t>
      </w:r>
    </w:p>
    <w:p>
      <w:pPr>
        <w:numPr>
          <w:ilvl w:val="0"/>
          <w:numId w:val="1000"/>
        </w:numPr>
        <w:pStyle w:val="Compact"/>
      </w:pPr>
      <w:r>
        <w:t xml:space="preserve">i should focus on scalable solutions that address local environmental issues, such as microplastic removal and green roof biodiversity support.</w:t>
      </w:r>
    </w:p>
    <w:p>
      <w:pPr>
        <w:pStyle w:val="FirstParagraph"/>
      </w:pPr>
      <w:r>
        <w:t xml:space="preserve">This document underscores that the</w:t>
      </w:r>
      <w:r>
        <w:t xml:space="preserve"> </w:t>
      </w:r>
      <w:r>
        <w:t xml:space="preserve">Biologist</w:t>
      </w:r>
    </w:p>
    <w:p>
      <w:pPr>
        <w:pStyle w:val="BodyText"/>
      </w:pPr>
      <w:r>
        <w:t xml:space="preserve">i is an essential architect of a sustainable future for</w:t>
      </w:r>
      <w:r>
        <w:t xml:space="preserve"> </w:t>
      </w:r>
      <w:r>
        <w:rPr>
          <w:bCs/>
          <w:b/>
        </w:rPr>
        <w:t xml:space="preserve">Netherlands Amsterdam</w:t>
      </w:r>
    </w:p>
    <w:p>
      <w:pPr>
        <w:pStyle w:val="BodyText"/>
      </w:pPr>
      <w:r>
        <w:t xml:space="preserve">i.</w:t>
      </w:r>
    </w:p>
    <w:p>
      <w:r>
        <w:pict>
          <v:rect style="width:0;height:1.5pt" o:hralign="center" o:hrstd="t" o:hr="t"/>
        </w:pict>
      </w:r>
    </w:p>
    <w:p>
      <w:pPr>
        <w:pStyle w:val="FirstParagraph"/>
      </w:pPr>
      <w:r>
        <w:rPr>
          <w:iCs/>
          <w:i/>
        </w:rPr>
        <w:t xml:space="preserve">Note: This case study is intended for educational and professional reference purposes. All data referenced represents general trends in the field of urban biology within the specified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Biologist in Netherlands Amsterdam</dc:title>
  <dc:creator/>
  <dc:language>en</dc:language>
  <cp:keywords/>
  <dcterms:created xsi:type="dcterms:W3CDTF">2026-07-29T17:50:46Z</dcterms:created>
  <dcterms:modified xsi:type="dcterms:W3CDTF">2026-07-29T17:50:46Z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