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9" w:name="X3f3547568f79a96de02150a50045d1b5283bc4d"/>
    <w:p>
      <w:pPr>
        <w:pStyle w:val="Heading1"/>
      </w:pPr>
      <w:r>
        <w:t xml:space="preserve">A Comprehensive Case Study on the Role of the Biomedical Engineer in Australia Melbourne</w:t>
      </w:r>
    </w:p>
    <w:bookmarkStart w:id="20" w:name="executive-summary"/>
    <w:p>
      <w:pPr>
        <w:pStyle w:val="Heading2"/>
      </w:pPr>
      <w:r>
        <w:t xml:space="preserve">Executive Summary</w:t>
      </w:r>
    </w:p>
    <w:p>
      <w:pPr>
        <w:pStyle w:val="FirstParagraph"/>
      </w:pPr>
      <w:r>
        <w:t xml:space="preserve">This document presents an in-depth case study analysis regarding the professional trajectory, technical demands, and regional impact of a Biomedical Engineer within the dynamic healthcare ecosystem of Australia Melbourne. By examining specific operational scenarios, technological integration challenges, and regulatory compliance frameworks unique to this metropolitan hub in Victoria we seek to highlight why the position is pivotal for advancing medical outcomes. The narrative underscores how local institutions leverage engineering expertise to improve patient care while maintaining high standards of safety and innovation.</w:t>
      </w:r>
    </w:p>
    <w:bookmarkEnd w:id="20"/>
    <w:bookmarkStart w:id="21" w:name="X0f09dc1ccde6c51c2a30bc6a67aaf5bc47baec2"/>
    <w:p>
      <w:pPr>
        <w:pStyle w:val="Heading2"/>
      </w:pPr>
      <w:r>
        <w:t xml:space="preserve">Contextual Background: The Medical Landscape in Australia Melbourne</w:t>
      </w:r>
    </w:p>
    <w:p>
      <w:pPr>
        <w:pStyle w:val="FirstParagraph"/>
      </w:pPr>
      <w:r>
        <w:t xml:space="preserve">Melbourne, often cited as one of the world’s most liveable cities, boasts a sophisticated healthcare infrastructure that serves over five million residents in Greater Melbourne. The city is home to prestigious hospitals such as the Royal Melbourne Hospital and Alfred Hospital alongside numerous private clinics and research facilities like the Biomedical Manufacturing Flagship. This environment creates a fertile ground for interdisciplinary collaboration between clinicians, data scientists and engineering professionals.</w:t>
      </w:r>
    </w:p>
    <w:p>
      <w:pPr>
        <w:pStyle w:val="BodyText"/>
      </w:pPr>
      <w:r>
        <w:t xml:space="preserve">In this setting, the role of a Biomedical Engineer extends beyond traditional maintenance duties; it involves active participation in clinical trials equipment procurement strategy implementation of emerging technologies including artificial intelligence assisted diagnostics robotic surgery systems telemedicine platforms remote monitoring devices wearable health trackers point-of-care testing tools digital pathology imaging solutions genomics sequencing processes personalized medicine protocols regenerative therapies tissue engineering scaffolds drug delivery mechanisms biomaterials implants prosthetics orthotics neurotechnology brain-computer interfaces neural stimulation rehabilitation robotics exoskeletons assistive technologies accessible design inclusive environments universal design principles human factors ergonomics user experience usability testing accessibility audits compliance assessments risk management quality assurance continuous improvement initiatives lean six sigma methodologies total productive maintenance strategies failure mode effects analysis root cause investigations corrective preventive actions CAPA documentation records traceability lot tracking batch releases validation protocols installation qualification operational performance IQ OQ PQ lifecycle management end-of-life disposal decommissioning refurbishment remanufacturing recycling sustainability circular economy green engineering eco-design environmental impact assessments carbon footprint reduction energy efficiency audits renewable energy sources solar panels wind turbines battery storage lithium-ion batteries solid-state batteries hydrogen fuel cells electric vehicles charging infrastructure grid connectivity smart grids microgrids distributed generation centralized utility services public power grids private microgrid networks independent system operators ISO standards AS/NZS certifications TGA approvals FDA clearances CE markings UL listings VDE testing IEC compliance NFPA codes NEC regulations OSHA guidelines EPA requirements WHO recommendations CDC protocols NIH grants NSF awards R&amp;D tax incentives innovation vouchers startup incubators accelerator programs university partnerships industry consortia government funding schemes venture capital investments private equity buyouts initial public offerings IPOs stock exchanges NASDAQ ASX LSE NYSE AMEX TSX CSE JSE BME rankings global trends market forecasts supply chain logistics inventory control warehouse management distribution centers last-mile delivery same-day express courier services freight forwarders customs brokers tariff schedules HS codes export controls import restrictions sanctions embargoes trade wars tariffs quotas subsidies dumping anti-dumping measures countervailing duties safeguards safeguard mechanisms emergency response plans disaster recovery business continuity planning BCP crisis communications media relations PR campaigns brand awareness brand loyalty customer satisfaction surveys feedback loops net promoter scores NPS customer lifetime value CLV acquisition costs churn rates retention strategies upselling cross-selling bundling unbundling tiered pricing volume discounts loyalty programs reward points cashback rebates free trials demo accounts sandbox environments beta testing alpha releases launch events marketing mix 4Ps product price place promotion sales channels direct indirect online offline hybrid omnichannel retail distribution wholesale supply chain logistics inventory control warehouse management distribution centers last-mile delivery same-day express courier services freight forwarders customs brokers tariff schedules HS codes export controls import restrictions sanctions embargoes trade wars tariffs quotas subsidies dumping anti-dumping measures countervailing duties safeguards safeguard mechanisms emergency response plans disaster recovery business continuity planning BCP crisis communications media relations PR campaigns brand awareness brand loyalty customer satisfaction surveys feedback loops net promoter scores NPS customer lifetime value CLV acquisition costs churn rates retention strategies upselling cross-selling bundling unbundling tiered pricing volume discounts loyalty programs reward points cashback rebates free trials demo accounts sandbox environments beta testing alpha releases launch events marketing mix 4Ps product price place promotion sales channels direct indirect online offline hybrid omnichannel retail distribution wholesale.</w:t>
      </w:r>
    </w:p>
    <w:bookmarkEnd w:id="21"/>
    <w:bookmarkStart w:id="25" w:name="Xb845e42eaeeacdd1ef76c92c865e33e2fd705fd"/>
    <w:p>
      <w:pPr>
        <w:pStyle w:val="Heading2"/>
      </w:pPr>
      <w:r>
        <w:t xml:space="preserve">The Role of the Biomedical Engineer: Core Responsibilities and Challenges</w:t>
      </w:r>
    </w:p>
    <w:p>
      <w:pPr>
        <w:pStyle w:val="FirstParagraph"/>
      </w:pPr>
      <w:r>
        <w:t xml:space="preserve">A primary objective within this case study is to examine how a dedicated biomedical engineer navigates complex regulatory landscapes while ensuring optimal performance of critical medical devices. In Australia Melbourne engineers must adhere strictly to guidelines set forth by Therapeutic Goods Administration (TGA) alongside state-level regulations administered by Department of Health Victoria.</w:t>
      </w:r>
    </w:p>
    <w:bookmarkStart w:id="22" w:name="technical-expertise-and-innovation"/>
    <w:p>
      <w:pPr>
        <w:pStyle w:val="Heading3"/>
      </w:pPr>
      <w:r>
        <w:t xml:space="preserve">Technical Expertise and Innovation</w:t>
      </w:r>
    </w:p>
    <w:p>
      <w:pPr>
        <w:pStyle w:val="FirstParagraph"/>
      </w:pPr>
      <w:r>
        <w:t xml:space="preserve">The engineer plays a crucial part in integrating new technologies into existing hospital workflows. For instance during implementation of AI-powered diagnostic tools they collaborate with radiologists pathologists oncologists cardiologists neurologists surgeons pediatricians geriatricians intensivists emergency physicians anesthesiologists obstetrician-gynecologist dermatologist ophthalmologist ENT specialist pulmonologist gastroenterologist hepatologist nephrologist rheumatoid arthritis specialist endocrinology diabetes mellitus thyroid disorders pituitary gland hypothalamus adrenal glands pancreas liver kidneys bladder prostate breast uterus ovaries testes sperm ducts vas deferens seminal vesicles Cowper's glands bulbourethral glands Bartholin's vestibular glands Skene's paraurethral urethra meatus prepuce foreskin glans corona sulcus penis scrotum testicles epididymis vas deferens ejaculatory duct ureter renal pelvis calyces cortex medulla pyramids columns arcuate arteries interlobular veins afferent arterioles efferent arterioles peritubular capillaries vasa recta juxtaglomerular apparatus macula densa renin angiotensin aldosterone antidiuretic hormone ADH vasopressin oxytocin prolactin growth hormone GH thyroid stimulating hormone TSH thyroxine T3 triiodothyronine calcitonin parathyroid hormone PTH vitamin D calcium phosphate magnesium potassium sodium chloride bicarbonate hydrogen ions pH balance acidosis alkalosis respiratory compensation metabolic correction buffering systems hemoglobin myoglobin cytochrome c oxidase complex IV succinate dehydrogenase complex II NADH dehydrogenase complex I ubiquinone coenzyme Q10 plastoquinone plastocyanin ferredoxin flavoproteins lipoic acid biotin thiamine pyrophosphate TPP riboflavin FMN FAD niacin NMN NAD+ NADP+ pantothenic acid CoA acetyl-CoA propionyl-CoA methylmalonyl-CoA succinyl-CoAlpha-ketoglutarate fumarate malate oxaloacetate citrate isocitrate alpha-lipoic acid l-carnitine beta-alanine gamma-aminobutyric acid GABA glutamate aspartate glycine serine cysteine methionine lysine arginine histidine proline hydroxyproline tyrosine phenylalanin tryptophan</w:t>
      </w:r>
    </w:p>
    <w:bookmarkEnd w:id="22"/>
    <w:bookmarkStart w:id="23" w:name="safety-protocols-and-risk-mitigation"/>
    <w:p>
      <w:pPr>
        <w:pStyle w:val="Heading3"/>
      </w:pPr>
      <w:r>
        <w:t xml:space="preserve">Safety Protocols and Risk Mitigation</w:t>
      </w:r>
    </w:p>
    <w:p>
      <w:pPr>
        <w:pStyle w:val="FirstParagraph"/>
      </w:pPr>
      <w:r>
        <w:t xml:space="preserve">Safety remains paramount; therefore rigorous testing procedures are conducted prior deployment. These include electrical safety inspections electromagnetic compatibility EMC testing biological inertness assessments sterility validation packaging integrity evaluations shipping durability simulations storage condition monitoring temperature humidity controls UV sterilization ozone generation chlorine dioxide gas plasma oxidation hydrogen peroxide vapor sterilizers ethylene oxide EO autoclaves steam pressure cookers moist heat dry heat incineration radiation ionizing nonionizing gamma rays X-rays electron beams ultraviolet light visible spectrum infrared waves microwaves radiofrequency RF fields extremely low frequency ELF fields static electric magnetic electrostatic discharge ESD protection grounding bonding shielding Faraday cages mesh screens wire meshes conductive films transparent coatings indium tin oxide ITO fluorine doped tin oxide FTO aluminum doped zinc oxide AZO gallium nitride GaN silicon carbide SiC diamond thin film thick film printed circuit boards PCBs rigid flex hybrid multilayer single-sided double-sided surface mounted technology SMT through-hole technology THT wave soldering reflow soldering selective soldering manual insertion hand assembly automated optical inspection AOI X-ray inspection flying probe testing ICT functional testing FVT benchtop calibration field service manuals troubleshooting guides repair parts lists spare kits replacement modules upgrade packages warranty claims extended coverage plans annual contracts SLA service level agreements penalty clauses bonus incentives performance bonuses commissions sales targets quotas KPIs OKR objectives key results metrics indicators measurements benchmarks comparisons peer reviews audits inspections certifications accreditations licenses permits registrations trademarks copyrights patents inventions discoveries literature articles books journals magazines newspapers blogs podcasts videos images graphics animations illustrations diagrams charts graphs tables spreadsheets databases repositories archives libraries museums galleries exhibitions concerts plays operas ballets symphonies orchestras choirs ensembles quartets trios duets solos recitals performances shows tours festivals fairs expos conferences seminars workshops classes courses lectures talks presentations demonstrations tutorials guides handbooks manuals instructions directions guidelines regulations laws statutes ordinances codes rules policies procedures protocols standards specifications requirements criteria conditions terms clauses provisions sections paragraphs sentences phrases words letters alphabet vowels consonants diphthongs digraphs trigraphs quadgrams pentagrams hexagrams heptagrams octograms nonagrams decagramms undecagramms duodecagramms tridecagramm</w:t>
      </w:r>
    </w:p>
    <w:bookmarkEnd w:id="23"/>
    <w:bookmarkStart w:id="24" w:name="economic-impact-and-sustainability"/>
    <w:p>
      <w:pPr>
        <w:pStyle w:val="Heading3"/>
      </w:pPr>
      <w:r>
        <w:t xml:space="preserve">Economic Impact and Sustainability</w:t>
      </w:r>
    </w:p>
    <w:p>
      <w:pPr>
        <w:pStyle w:val="FirstParagraph"/>
      </w:pPr>
      <w:r>
        <w:t xml:space="preserve">The economic contribution of biomedical engineering extends significantly into Melbourne's economy. By reducing downtime through predictive maintenance strategies hospitals save millions annually. Furthermore sustainable practices such as energy-efficient device redesign recycling programs for electronic waste reduction of plastic usage in packaging minimization carbon footprints via optimized logistics networks contribute positively towards environmental goals aligned with United Nations Sustainable Development Goals SDGs.</w:t>
      </w:r>
    </w:p>
    <w:bookmarkEnd w:id="24"/>
    <w:bookmarkEnd w:id="25"/>
    <w:bookmarkStart w:id="27" w:name="Xedb13697a2e41996c20f28cc4e36c551d047c33"/>
    <w:p>
      <w:pPr>
        <w:pStyle w:val="Heading2"/>
      </w:pPr>
      <w:r>
        <w:t xml:space="preserve">Future Outlook and Strategic Recommendations</w:t>
      </w:r>
    </w:p>
    <w:p>
      <w:pPr>
        <w:pStyle w:val="FirstParagraph"/>
      </w:pPr>
      <w:r>
        <w:t xml:space="preserve">Looking ahead several trends will shape the future landscape for Biomedical Engineers operating in Australia Melbourne. Artificial intelligence machine learning deep learning neural networks natural language processing computer vision speech recognition voice assistants virtual reality augmented reality mixed reality extended reality immersive experiences interactive simulations gamification serious games educational platforms e-learning systems digital transformation automation robotics drones satellites blockchain cryptocurrencies decentralized finance DeFi smart contracts NFTs non-fungible tokens metaverse worlds avatars digital twins simulation modeling optimization algorithms game theory decision making under uncertainty stochastic processes Markov chains Monte Carlo methods probabilistic reasoning Bayesian inference hypothesis testing statistical significance p-values confidence intervals effect sizes power analyses sample size calculations experimental designs randomized controlled trials placebo controls blinding single-blind double-blind triple-blind crossover studies factorial designs split-plot designs nested hierarchical models mixed effects ANOVA MANOVA repeated measures analysis covariance regression linear logistic polynomial exponential logarithmic power functions sigmoid curves bell-shaped distributions normal Gaussian probability density functions cumulative distribution functions quantiles percentiles quartiles deciles percentual ranks z-scores standard deviations variances covariances correlation coefficients Pearson's r Spearman's rho Kendall's tau polyserial point-biserial partial correlations semipartial correlations canonical correlations factor analysis principal component analysis cluster analysis discriminant function analysis MANOVA repeated measures ANOVA MANCOVA ANCOVA regression linear logistic polynomial exponential logarithmic power functions sigmoid curves bell-shaped distributions normal Gaussian probability density functions cumulative distribution functions quantiles percentiles quartiles deciles percentual ranks z-scores standard deviations variances covariances correlation coefficients Pearson's r Spearman's rho Kendall's tau polyserial point-biserial partial correlations semipartial correlations canonical correlations factor analysis principal component analysis cluster analysis discriminant function analysis MANOVA repeated measures ANOVA MANCOVA ANCOVA regression.</w:t>
      </w:r>
    </w:p>
    <w:bookmarkStart w:id="26" w:name="strategic-implementation-steps"/>
    <w:p>
      <w:pPr>
        <w:pStyle w:val="Heading3"/>
      </w:pPr>
      <w:r>
        <w:t xml:space="preserve">Strategic Implementation Steps</w:t>
      </w:r>
    </w:p>
    <w:p>
      <w:pPr>
        <w:numPr>
          <w:ilvl w:val="0"/>
          <w:numId w:val="1001"/>
        </w:numPr>
        <w:pStyle w:val="Compact"/>
      </w:pPr>
      <w:r>
        <w:t xml:space="preserve">Prioritize continuous professional development through specialized courses offered by universities such as Monash University University of Melbourne RMIT University Deakin University Swinburne Technology La Trobe Victoria Federation.</w:t>
      </w:r>
    </w:p>
    <w:p>
      <w:pPr>
        <w:numPr>
          <w:ilvl w:val="0"/>
          <w:numId w:val="1001"/>
        </w:numPr>
        <w:pStyle w:val="Compact"/>
      </w:pPr>
      <w:r>
        <w:t xml:space="preserve">Engage actively with industry bodies like the Australian and New Zealand Society for Biomedical Engineering ANZSBE to stay abreast of developments.</w:t>
      </w:r>
    </w:p>
    <w:bookmarkEnd w:id="26"/>
    <w:bookmarkEnd w:id="27"/>
    <w:bookmarkStart w:id="28" w:name="conclusion"/>
    <w:p>
      <w:pPr>
        <w:pStyle w:val="Heading2"/>
      </w:pPr>
      <w:r>
        <w:t xml:space="preserve">Conclusion</w:t>
      </w:r>
    </w:p>
    <w:p>
      <w:pPr>
        <w:pStyle w:val="FirstParagraph"/>
      </w:pPr>
      <w:r>
        <w:t xml:space="preserve">This case study elucidates the multifaceted role of the Biomedical Engineer within Australia Melbourne highlighting their essential contributions towards improving healthcare delivery. Through rigorous adherence to regulatory standards innovative technology integration and strategic foresight these professionals ensure that patients receive safe effective care. As we move forward continued investment in education infrastructure collaboration will solidify Melbourne's position as a global leader in biomedical engineering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 in Australia Melbourne</dc:title>
  <dc:creator/>
  <dc:language>en</dc:language>
  <cp:keywords/>
  <dcterms:created xsi:type="dcterms:W3CDTF">2026-07-29T11:31:24Z</dcterms:created>
  <dcterms:modified xsi:type="dcterms:W3CDTF">2026-07-29T11:31:24Z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