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45" w:name="Xf19b88633cc1dc532c27ba487c497ebb5df4b50"/>
    <w:p>
      <w:pPr>
        <w:pStyle w:val="Heading1"/>
      </w:pPr>
      <w:r>
        <w:t xml:space="preserve">Case Study: The Evolution and Impact of Biomedical Engineering in Malaysia, Kuala Lumpur</w:t>
      </w:r>
    </w:p>
    <w:p>
      <w:pPr>
        <w:pStyle w:val="FirstParagraph"/>
      </w:pPr>
      <w:r>
        <w:rPr>
          <w:bCs/>
          <w:b/>
        </w:rPr>
        <w:t xml:space="preserve">Date:</w:t>
      </w:r>
      <w:r>
        <w:t xml:space="preserve"> </w:t>
      </w:r>
      <w:r>
        <w:t xml:space="preserve">October 2023</w:t>
      </w:r>
      <w:r>
        <w:br/>
      </w:r>
      <w:r>
        <w:rPr>
          <w:bCs/>
          <w:b/>
        </w:rPr>
        <w:t xml:space="preserve">Subject:</w:t>
      </w:r>
      <w:r>
        <w:t xml:space="preserve">The Role of the Biomedical Engineer in Modernizing Healthcare Infrastructure</w:t>
      </w:r>
      <w:r>
        <w:br/>
      </w:r>
      <w:r>
        <w:rPr>
          <w:bCs/>
          <w:b/>
        </w:rPr>
        <w:t xml:space="preserve">Jurisdictional Focus:</w:t>
      </w:r>
      <w:r>
        <w:t xml:space="preserve"> </w:t>
      </w:r>
      <w:r>
        <w:t xml:space="preserve">Malaysia, Kuala Lumpur</w:t>
      </w:r>
    </w:p>
    <w:bookmarkStart w:id="20" w:name="executive-summary"/>
    <w:p>
      <w:pPr>
        <w:pStyle w:val="Heading2"/>
      </w:pPr>
      <w:r>
        <w:t xml:space="preserve">1. Executive Summary</w:t>
      </w:r>
    </w:p>
    <w:p>
      <w:pPr>
        <w:pStyle w:val="FirstParagraph"/>
      </w:pPr>
      <w:r>
        <w:t xml:space="preserve">In the rapidly developing landscape of Southeast Asian healthcare,</w:t>
      </w:r>
      <w:r>
        <w:t xml:space="preserve"> </w:t>
      </w:r>
      <w:r>
        <w:rPr>
          <w:bCs/>
          <w:b/>
        </w:rPr>
        <w:t xml:space="preserve">Kuala Lumpur</w:t>
      </w:r>
      <w:r>
        <w:t xml:space="preserve">, the capital city of</w:t>
      </w:r>
      <w:r>
        <w:t xml:space="preserve"> </w:t>
      </w:r>
      <w:r>
        <w:rPr>
          <w:bCs/>
          <w:b/>
        </w:rPr>
        <w:t xml:space="preserve">Malaysia</w:t>
      </w:r>
      <w:r>
        <w:t xml:space="preserve">, has emerged as a regional hub for medical tourism and advanced clinical services. Central to this transformation is the critical role played by Biomedical Engineers (BMEs). This case study explores how BMEs function within the complex ecosystem of Malaysian healthcare, specifically focusing on their contributions in Kuala Lumpur's premier hospitals. It examines the challenges faced by these professionals, their strategic importance in maintaining healthcare standards, and future projections for the profession within</w:t>
      </w:r>
      <w:r>
        <w:t xml:space="preserve"> </w:t>
      </w:r>
      <w:r>
        <w:rPr>
          <w:bCs/>
          <w:b/>
        </w:rPr>
        <w:t xml:space="preserve">Malaysia</w:t>
      </w:r>
      <w:r>
        <w:t xml:space="preserve">.</w:t>
      </w:r>
    </w:p>
    <w:bookmarkEnd w:id="20"/>
    <w:bookmarkStart w:id="21" w:name="Xb4297772ab85976c70a1795b9d6f35f54b157e6"/>
    <w:p>
      <w:pPr>
        <w:pStyle w:val="Heading2"/>
      </w:pPr>
      <w:r>
        <w:t xml:space="preserve">2. Introduction to Biomedical Engineering in Malaysia</w:t>
      </w:r>
    </w:p>
    <w:p>
      <w:pPr>
        <w:pStyle w:val="FirstParagraph"/>
      </w:pPr>
      <w:r>
        <w:rPr>
          <w:bCs/>
          <w:b/>
        </w:rPr>
        <w:t xml:space="preserve">Biomedical Engineering</w:t>
      </w:r>
      <w:r>
        <w:t xml:space="preserve">, also known as medical technology or clinical engineering, is the application of engineering principles and design concepts to medicine and biology for healthcare purposes. In</w:t>
      </w:r>
      <w:r>
        <w:t xml:space="preserve"> </w:t>
      </w:r>
      <w:r>
        <w:rPr>
          <w:bCs/>
          <w:b/>
        </w:rPr>
        <w:t xml:space="preserve">Malaysia</w:t>
      </w:r>
      <w:r>
        <w:t xml:space="preserve">, the profession has transitioned from a purely maintenance-focused role to one of strategic partnership in patient safety, regulatory compliance, and technological innovation.</w:t>
      </w:r>
    </w:p>
    <w:p>
      <w:pPr>
        <w:pStyle w:val="BodyText"/>
      </w:pPr>
      <w:r>
        <w:t xml:space="preserve">Kuala Lumpur serves as the epicenter for this professional evolution. As the seat of national government policy and home to major private hospital conglomerates (such as KPJ Healthcare, IWH, and Sunway Medical Centre) alongside major public institutions like Hospital Kuala Lumpur (HKL), the city provides a unique laboratory for observing</w:t>
      </w:r>
      <w:r>
        <w:t xml:space="preserve"> </w:t>
      </w:r>
      <w:r>
        <w:rPr>
          <w:bCs/>
          <w:b/>
        </w:rPr>
        <w:t xml:space="preserve">Biomedical Engineer</w:t>
      </w:r>
      <w:r>
        <w:t xml:space="preserve"> </w:t>
      </w:r>
      <w:r>
        <w:t xml:space="preserve">practices in action.</w:t>
      </w:r>
    </w:p>
    <w:bookmarkEnd w:id="21"/>
    <w:bookmarkStart w:id="24" w:name="Xf71800a5f4f716d53aa4acdf40c2d55b2d6050c"/>
    <w:p>
      <w:pPr>
        <w:pStyle w:val="Heading2"/>
      </w:pPr>
      <w:r>
        <w:t xml:space="preserve">3. Case Context: The High-Volume Clinical Environment of Kuala Lumpur</w:t>
      </w:r>
    </w:p>
    <w:bookmarkStart w:id="22" w:name="the-setting"/>
    <w:p>
      <w:pPr>
        <w:pStyle w:val="Heading3"/>
      </w:pPr>
      <w:r>
        <w:t xml:space="preserve">3.1 The Setting</w:t>
      </w:r>
    </w:p>
    <w:p>
      <w:pPr>
        <w:pStyle w:val="FirstParagraph"/>
      </w:pPr>
      <w:r>
        <w:rPr>
          <w:bCs/>
          <w:b/>
        </w:rPr>
        <w:t xml:space="preserve">Kuala Lumpur's</w:t>
      </w:r>
      <w:r>
        <w:t xml:space="preserve"> </w:t>
      </w:r>
      <w:r>
        <w:t xml:space="preserve">healthcare infrastructure is characterized by high patient volumes and a dual system comprising both government-subsidized public hospitals and highly specialized private facilities. This duality creates distinct challenges for</w:t>
      </w:r>
      <w:r>
        <w:t xml:space="preserve"> </w:t>
      </w:r>
      <w:r>
        <w:rPr>
          <w:bCs/>
          <w:b/>
        </w:rPr>
        <w:t xml:space="preserve">Biomedical Engineers</w:t>
      </w:r>
      <w:r>
        <w:t xml:space="preserve">. In public hospitals, engineers often face resource constraints, managing aging equipment with limited budgets. Conversely, in private sector facilities in KL, the focus shifts to maximizing uptime of high-cost technology (such as MRI machines, CT scanners, and robotic surgical systems) to ensure patient throughput and revenue retention.</w:t>
      </w:r>
    </w:p>
    <w:bookmarkEnd w:id="22"/>
    <w:bookmarkStart w:id="23" w:name="the-professional-mandate"/>
    <w:p>
      <w:pPr>
        <w:pStyle w:val="Heading3"/>
      </w:pPr>
      <w:r>
        <w:t xml:space="preserve">3.2 The Professional Mandate</w:t>
      </w:r>
    </w:p>
    <w:p>
      <w:pPr>
        <w:pStyle w:val="FirstParagraph"/>
      </w:pPr>
      <w:r>
        <w:t xml:space="preserve">A</w:t>
      </w:r>
      <w:r>
        <w:t xml:space="preserve"> </w:t>
      </w:r>
      <w:r>
        <w:rPr>
          <w:bCs/>
          <w:b/>
        </w:rPr>
        <w:t xml:space="preserve">Biomedical Engineer</w:t>
      </w:r>
      <w:r>
        <w:t xml:space="preserve"> </w:t>
      </w:r>
      <w:r>
        <w:t xml:space="preserve">in Kuala Lumpur is not merely a technician; they are risk managers. Their primary mandate includes:</w:t>
      </w:r>
    </w:p>
    <w:p>
      <w:pPr>
        <w:pStyle w:val="BodyText"/>
      </w:pPr>
      <w:r>
        <w:rPr>
          <w:bCs/>
          <w:b/>
        </w:rPr>
        <w:t xml:space="preserve">Predictive Maintenance:</w:t>
      </w:r>
    </w:p>
    <w:p>
      <w:pPr>
        <w:numPr>
          <w:ilvl w:val="0"/>
          <w:numId w:val="1001"/>
        </w:numPr>
        <w:pStyle w:val="Compact"/>
      </w:pPr>
      <w:r>
        <w:t xml:space="preserve">Moving away from reactive repairs to data-driven predictive maintenance strategies using IoT-enabled monitoring tools.</w:t>
      </w:r>
    </w:p>
    <w:p>
      <w:pPr>
        <w:pStyle w:val="FirstParagraph"/>
      </w:pPr>
      <w:r>
        <w:rPr>
          <w:bCs/>
          <w:b/>
        </w:rPr>
        <w:t xml:space="preserve">Regulatory Compliance:</w:t>
      </w:r>
    </w:p>
    <w:p>
      <w:pPr>
        <w:numPr>
          <w:ilvl w:val="0"/>
          <w:numId w:val="1002"/>
        </w:numPr>
        <w:pStyle w:val="Compact"/>
      </w:pPr>
      <w:r>
        <w:t xml:space="preserve">Navigating the strict guidelines set by the Malaysian Ministry of Health (MOH) and the Medical Device Authority (MDA).</w:t>
      </w:r>
    </w:p>
    <w:p>
      <w:pPr>
        <w:pStyle w:val="FirstParagraph"/>
      </w:pPr>
      <w:r>
        <w:rPr>
          <w:bCs/>
          <w:b/>
        </w:rPr>
        <w:t xml:space="preserve">Clinical Safety:</w:t>
      </w:r>
    </w:p>
    <w:p>
      <w:pPr>
        <w:numPr>
          <w:ilvl w:val="0"/>
          <w:numId w:val="1003"/>
        </w:numPr>
        <w:pStyle w:val="Compact"/>
      </w:pPr>
      <w:r>
        <w:t xml:space="preserve">Ensuring that all electrical safety checks and calibration processes meet international ISO standards to protect patient life.</w:t>
      </w:r>
    </w:p>
    <w:bookmarkEnd w:id="23"/>
    <w:bookmarkEnd w:id="24"/>
    <w:bookmarkStart w:id="29" w:name="X17ecfc7ead44e5ab97b0814df15aa467123f7fc"/>
    <w:p>
      <w:pPr>
        <w:pStyle w:val="Heading2"/>
      </w:pPr>
      <w:r>
        <w:t xml:space="preserve">4. Key Challenges Faced by Biomedical Engineers in Kuala Lumpur</w:t>
      </w:r>
    </w:p>
    <w:bookmarkStart w:id="25" w:name="rapid-technological-obsolescence"/>
    <w:p>
      <w:pPr>
        <w:pStyle w:val="Heading3"/>
      </w:pPr>
      <w:r>
        <w:t xml:space="preserve">4.1 Rapid Technological Obsolescence</w:t>
      </w:r>
    </w:p>
    <w:p>
      <w:pPr>
        <w:pStyle w:val="FirstParagraph"/>
      </w:pPr>
      <w:r>
        <w:t xml:space="preserve">Kuala Lumpur is increasingly adopting cutting-edge medical technologies, such as AI-assisted diagnostics and minimally invasive robotic surgery systems. The pace of technological advancement often outstrips the training capabilities of existing biomedical teams.</w:t>
      </w:r>
      <w:r>
        <w:t xml:space="preserve"> </w:t>
      </w:r>
      <w:r>
        <w:rPr>
          <w:bCs/>
          <w:b/>
        </w:rPr>
        <w:t xml:space="preserve">BMEs</w:t>
      </w:r>
      <w:r>
        <w:t xml:space="preserve"> </w:t>
      </w:r>
      <w:r>
        <w:t xml:space="preserve">must continuously upskill to understand complex software interfaces and proprietary hardware that often lack local service support, requiring them to liaise directly with global manufacturers.</w:t>
      </w:r>
    </w:p>
    <w:bookmarkEnd w:id="25"/>
    <w:bookmarkStart w:id="27" w:name="regulatory-complexity"/>
    <w:p>
      <w:pPr>
        <w:pStyle w:val="Heading3"/>
      </w:pPr>
      <w:r>
        <w:t xml:space="preserve">4.2 Regulatory Complexity</w:t>
      </w:r>
    </w:p>
    <w:p>
      <w:pPr>
        <w:pStyle w:val="FirstParagraph"/>
      </w:pPr>
      <w:r>
        <w:rPr>
          <w:bCs/>
          <w:b/>
        </w:rPr>
        <w:t xml:space="preserve">Malaysia's</w:t>
      </w:r>
      <w:r>
        <w:t xml:space="preserve"> </w:t>
      </w:r>
      <w:hyperlink w:anchor="mda">
        <w:r>
          <w:rPr>
            <w:rStyle w:val="Hyperlink"/>
          </w:rPr>
          <w:t xml:space="preserve">Medical Device Authority (MDA)</w:t>
        </w:r>
      </w:hyperlink>
      <w:bookmarkStart w:id="26" w:name="mda"/>
      <w:bookmarkEnd w:id="26"/>
      <w:r>
        <w:t xml:space="preserve">, established under the Health Technologies Act, has introduced rigorous registration and post-market surveillance requirements.</w:t>
      </w:r>
      <w:r>
        <w:t xml:space="preserve"> </w:t>
      </w:r>
      <w:r>
        <w:rPr>
          <w:bCs/>
          <w:b/>
        </w:rPr>
        <w:t xml:space="preserve">Biomedical Engineers</w:t>
      </w:r>
      <w:r>
        <w:t xml:space="preserve"> </w:t>
      </w:r>
      <w:r>
        <w:t xml:space="preserve">in KL are now responsible for ensuring that every device in their facilities is MDA-registered, creating a significant administrative burden alongside technical duties.</w:t>
      </w:r>
    </w:p>
    <w:bookmarkEnd w:id="27"/>
    <w:bookmarkStart w:id="28" w:name="supply-chain-vulnerabilities"/>
    <w:p>
      <w:pPr>
        <w:pStyle w:val="Heading3"/>
      </w:pPr>
      <w:r>
        <w:t xml:space="preserve">4.3 Supply Chain Vulnerabilities</w:t>
      </w:r>
    </w:p>
    <w:p>
      <w:pPr>
        <w:pStyle w:val="FirstParagraph"/>
      </w:pPr>
      <w:r>
        <w:t xml:space="preserve">Global supply chain disruptions have significantly impacted hospitals in</w:t>
      </w:r>
      <w:r>
        <w:t xml:space="preserve"> </w:t>
      </w:r>
      <w:r>
        <w:rPr>
          <w:bCs/>
          <w:b/>
        </w:rPr>
        <w:t xml:space="preserve">Kuala Lumpur</w:t>
      </w:r>
      <w:r>
        <w:t xml:space="preserve">. Securing original spare parts for imported medical equipment has become difficult and expensive. BMEs are increasingly tasked with finding alternative sourcing strategies or collaborating with local manufacturing partners to produce compatible components, fostering a growing interest in local biomedical device manufacturing within</w:t>
      </w:r>
      <w:r>
        <w:t xml:space="preserve"> </w:t>
      </w:r>
      <w:r>
        <w:rPr>
          <w:bCs/>
          <w:b/>
        </w:rPr>
        <w:t xml:space="preserve">Malaysia</w:t>
      </w:r>
      <w:r>
        <w:t xml:space="preserve">.</w:t>
      </w:r>
    </w:p>
    <w:bookmarkEnd w:id="28"/>
    <w:bookmarkEnd w:id="29"/>
    <w:bookmarkStart w:id="31" w:name="X46fb1985dd9e8facb8587796e38710a78c3b58e"/>
    <w:p>
      <w:pPr>
        <w:pStyle w:val="Heading2"/>
      </w:pPr>
      <w:r>
        <w:t xml:space="preserve">5. Case Example: Digital Integration in a Private Hospital Setting</w:t>
      </w:r>
    </w:p>
    <w:p>
      <w:pPr>
        <w:pStyle w:val="FirstParagraph"/>
      </w:pPr>
      <w:r>
        <w:t xml:space="preserve">To illustrate the daily operations, consider "Hospital X," a mid-to-large private facility in Kuala Lumpur. The hospital implemented a Computerized Maintenance Management System (CMMS) to track</w:t>
      </w:r>
      <w:r>
        <w:t xml:space="preserve"> </w:t>
      </w:r>
      <w:r>
        <w:rPr>
          <w:bCs/>
          <w:b/>
        </w:rPr>
        <w:t xml:space="preserve">Biomedical Engineer</w:t>
      </w:r>
      <w:r>
        <w:t xml:space="preserve"> </w:t>
      </w:r>
      <w:r>
        <w:t xml:space="preserve">activities.</w:t>
      </w:r>
    </w:p>
    <w:p>
      <w:pPr>
        <w:pStyle w:val="BodyText"/>
      </w:pPr>
      <w:r>
        <w:rPr>
          <w:bCs/>
          <w:b/>
        </w:rPr>
        <w:t xml:space="preserve">The Intervention:</w:t>
      </w:r>
    </w:p>
    <w:p>
      <w:pPr>
        <w:pStyle w:val="BodyText"/>
      </w:pPr>
      <w:r>
        <w:t xml:space="preserve">The biomedical engineering department conducted an audit of 500+ medical devices.</w:t>
      </w:r>
    </w:p>
    <w:p>
      <w:pPr>
        <w:pStyle w:val="BodyText"/>
      </w:pPr>
      <w:r>
        <w:t xml:space="preserve">All devices were tagged with QR codes linked to the CMMS database, accessible via tablets by engineers in Kuala Lumpur wards.</w:t>
      </w:r>
    </w:p>
    <w:p>
      <w:pPr>
        <w:pStyle w:val="BodyText"/>
      </w:pPr>
      <w:r>
        <w:t xml:space="preserve">Data analytics were used to identify high-failure-rate equipment categories.</w:t>
      </w:r>
    </w:p>
    <w:p>
      <w:pPr>
        <w:pStyle w:val="BodyText"/>
      </w:pPr>
      <w:r>
        <w:rPr>
          <w:bCs/>
          <w:b/>
        </w:rPr>
        <w:t xml:space="preserve">The Outcome:</w:t>
      </w:r>
    </w:p>
    <w:p>
      <w:pPr>
        <w:numPr>
          <w:ilvl w:val="0"/>
          <w:numId w:val="1004"/>
        </w:numPr>
        <w:pStyle w:val="Compact"/>
      </w:pPr>
      <w:r>
        <w:t xml:space="preserve">Downtime for critical care ventilators reduced by 30% within six months.</w:t>
      </w:r>
    </w:p>
    <w:p>
      <w:pPr>
        <w:numPr>
          <w:ilvl w:val="0"/>
          <w:numId w:val="1004"/>
        </w:numPr>
        <w:pStyle w:val="Compact"/>
      </w:pPr>
      <w:r>
        <w:t xml:space="preserve">Cost savings of approximately MYR 150,000 annually due to reduced emergency outsourcing.</w:t>
      </w:r>
    </w:p>
    <w:p>
      <w:pPr>
        <w:numPr>
          <w:ilvl w:val="0"/>
          <w:numId w:val="1004"/>
        </w:numPr>
        <w:pStyle w:val="Compact"/>
      </w:pPr>
      <w:r>
        <w:t xml:space="preserve">Improved compliance reporting for the Malaysian Ministry of Health audits.</w:t>
      </w:r>
    </w:p>
    <w:p>
      <w:pPr>
        <w:pStyle w:val="FirstParagraph"/>
      </w:pPr>
      <w:r>
        <w:t xml:space="preserve">This case highlights how a</w:t>
      </w:r>
      <w:r>
        <w:t xml:space="preserve"> </w:t>
      </w:r>
      <w:r>
        <w:rPr>
          <w:bCs/>
          <w:b/>
        </w:rPr>
        <w:t xml:space="preserve">Biomedical Engineer</w:t>
      </w:r>
      <w:r>
        <w:t xml:space="preserve">'s role in</w:t>
      </w:r>
      <w:r>
        <w:t xml:space="preserve"> </w:t>
      </w:r>
      <w:r>
        <w:rPr>
          <w:bCs/>
          <w:b/>
        </w:rPr>
        <w:t xml:space="preserve">Kuala Lumpur</w:t>
      </w:r>
      <w:bookmarkStart w:id="30" w:name="kl"/>
      <w:bookmarkEnd w:id="30"/>
      <w:hyperlink w:anchor="kl"/>
      <w:r>
        <w:t xml:space="preserve">, when supported by proper digital infrastructure, directly correlates with operational efficiency and patient safety.</w:t>
      </w:r>
    </w:p>
    <w:bookmarkEnd w:id="31"/>
    <w:bookmarkStart w:id="32" w:name="X817476c210cd7421d33ecf78905c06d9f234cac"/>
    <w:p>
      <w:pPr>
        <w:pStyle w:val="Heading2"/>
      </w:pPr>
      <w:r>
        <w:t xml:space="preserve">6. The Role of Education and Professional Bodies</w:t>
      </w:r>
    </w:p>
    <w:p>
      <w:pPr>
        <w:pStyle w:val="FirstParagraph"/>
      </w:pPr>
      <w:r>
        <w:t xml:space="preserve">In</w:t>
      </w:r>
      <w:r>
        <w:t xml:space="preserve"> </w:t>
      </w:r>
      <w:r>
        <w:rPr>
          <w:bCs/>
          <w:b/>
        </w:rPr>
        <w:t xml:space="preserve">Malaysia</w:t>
      </w:r>
      <w:r>
        <w:t xml:space="preserve">, the professional landscape is supported by bodies such as the Institute of Biomedical Engineering (IBME) Malaysia. In Kuala Lumpur, universities like Universiti Malaya and Universiti Teknologi MARA play a pivotal role in producing qualified graduates. However, there remains a gap between academic curriculum and industry needs regarding emerging technologies like 3D-printed implants and telemedicine hardware. Continuous Professional Development (CPD) is now mandatory for certification as an</w:t>
      </w:r>
      <w:r>
        <w:t xml:space="preserve"> </w:t>
      </w:r>
      <w:r>
        <w:rPr>
          <w:bCs/>
          <w:b/>
        </w:rPr>
        <w:t xml:space="preserve">Biomedical Engineer</w:t>
      </w:r>
      <w:r>
        <w:t xml:space="preserve"> </w:t>
      </w:r>
      <w:r>
        <w:t xml:space="preserve">by the Malaysian Board of Engineers (BEM).</w:t>
      </w:r>
    </w:p>
    <w:bookmarkEnd w:id="32"/>
    <w:bookmarkStart w:id="36" w:name="X6f098e5e717475510fc290375941db06fc44c95"/>
    <w:p>
      <w:pPr>
        <w:pStyle w:val="Heading2"/>
      </w:pPr>
      <w:r>
        <w:t xml:space="preserve">7. Future Outlook for Biomedical Engineering in Malaysia, Kuala Lumpur</w:t>
      </w:r>
    </w:p>
    <w:p>
      <w:pPr>
        <w:pStyle w:val="FirstParagraph"/>
      </w:pPr>
      <w:r>
        <w:t xml:space="preserve">The future trajectory for</w:t>
      </w:r>
      <w:r>
        <w:t xml:space="preserve"> </w:t>
      </w:r>
      <w:r>
        <w:rPr>
          <w:bCs/>
          <w:b/>
        </w:rPr>
        <w:t xml:space="preserve">Biomedical Engineering</w:t>
      </w:r>
      <w:bookmarkStart w:id="33" w:name="bme"/>
      <w:bookmarkEnd w:id="33"/>
      <w:hyperlink w:anchor="bme"/>
      <w:r>
        <w:t xml:space="preserve"> </w:t>
      </w:r>
      <w:r>
        <w:t xml:space="preserve">in</w:t>
      </w:r>
      <w:r>
        <w:t xml:space="preserve"> </w:t>
      </w:r>
      <w:r>
        <w:rPr>
          <w:bCs/>
          <w:b/>
        </w:rPr>
        <w:t xml:space="preserve">Kuala Lumpur</w:t>
      </w:r>
      <w:r>
        <w:t xml:space="preserve">,</w:t>
      </w:r>
      <w:bookmarkStart w:id="34" w:name="kl2"/>
      <w:bookmarkEnd w:id="34"/>
      <w:hyperlink w:anchor="kl2"/>
      <w:r>
        <w:t xml:space="preserve"> </w:t>
      </w:r>
      <w:r>
        <w:t xml:space="preserve">is promising yet challenging. Key trends include:</w:t>
      </w:r>
    </w:p>
    <w:p>
      <w:pPr>
        <w:pStyle w:val="BodyText"/>
      </w:pPr>
      <w:r>
        <w:rPr>
          <w:bCs/>
          <w:b/>
        </w:rPr>
        <w:t xml:space="preserve">Lokalization of Manufacturing:</w:t>
      </w:r>
    </w:p>
    <w:p>
      <w:pPr>
        <w:numPr>
          <w:ilvl w:val="0"/>
          <w:numId w:val="1005"/>
        </w:numPr>
        <w:pStyle w:val="Compact"/>
      </w:pPr>
      <w:r>
        <w:t xml:space="preserve">The Malaysian government's push for high-value manufacturing may see an increase in local R&amp;D hubs within the Klang Valley, creating more specialized roles for BMEs in product development rather than just maintenance.</w:t>
      </w:r>
    </w:p>
    <w:p>
      <w:pPr>
        <w:pStyle w:val="FirstParagraph"/>
      </w:pPr>
      <w:r>
        <w:rPr>
          <w:bCs/>
          <w:b/>
        </w:rPr>
        <w:t xml:space="preserve">Telecommedicine Integration:</w:t>
      </w:r>
    </w:p>
    <w:p>
      <w:pPr>
        <w:numPr>
          <w:ilvl w:val="0"/>
          <w:numId w:val="1006"/>
        </w:numPr>
        <w:pStyle w:val="Compact"/>
      </w:pPr>
      <w:r>
        <w:t xml:space="preserve">Kuala Lumpur is a leader in digital health.</w:t>
      </w:r>
      <w:r>
        <w:t xml:space="preserve"> </w:t>
      </w:r>
      <w:r>
        <w:rPr>
          <w:bCs/>
          <w:b/>
        </w:rPr>
        <w:t xml:space="preserve">Biomedical Engineers</w:t>
      </w:r>
      <w:r>
        <w:t xml:space="preserve"> </w:t>
      </w:r>
      <w:r>
        <w:t xml:space="preserve">will need to manage remote monitoring devices and ensure the hardware infrastructure supports telehealth platforms.</w:t>
      </w:r>
    </w:p>
    <w:p>
      <w:pPr>
        <w:pStyle w:val="FirstParagraph"/>
      </w:pPr>
      <w:bookmarkStart w:id="35" w:name="ai"/>
      <w:r>
        <w:t xml:space="preserve">A</w:t>
      </w:r>
      <w:bookmarkEnd w:id="35"/>
      <w:r>
        <w:t xml:space="preserve">i-Driven Diagnostics:</w:t>
      </w:r>
    </w:p>
    <w:p>
      <w:pPr>
        <w:numPr>
          <w:ilvl w:val="0"/>
          <w:numId w:val="1007"/>
        </w:numPr>
        <w:pStyle w:val="Compact"/>
      </w:pPr>
      <w:r>
        <w:t xml:space="preserve">As AI becomes embedded in imaging devices, BMEs must understand data integrity and cybersecurity aspects of medical hardware to prevent hacking risks in hospital networks.</w:t>
      </w:r>
    </w:p>
    <w:bookmarkEnd w:id="36"/>
    <w:bookmarkStart w:id="44" w:name="conclusion"/>
    <w:p>
      <w:pPr>
        <w:pStyle w:val="Heading2"/>
      </w:pPr>
      <w:r>
        <w:t xml:space="preserve">8. Conclusion</w:t>
      </w:r>
    </w:p>
    <w:p>
      <w:pPr>
        <w:pStyle w:val="FirstParagraph"/>
      </w:pPr>
      <w:r>
        <w:t xml:space="preserve">In conclusion, the</w:t>
      </w:r>
      <w:r>
        <w:t xml:space="preserve"> </w:t>
      </w:r>
      <w:r>
        <w:rPr>
          <w:bCs/>
          <w:b/>
        </w:rPr>
        <w:t xml:space="preserve">Biomedical Engineer</w:t>
      </w:r>
      <w:r>
        <w:t xml:space="preserve">,</w:t>
      </w:r>
      <w:bookmarkStart w:id="37" w:name="bme2"/>
      <w:bookmarkEnd w:id="37"/>
      <w:hyperlink w:anchor="bme2"/>
      <w:r>
        <w:t xml:space="preserve">, in</w:t>
      </w:r>
    </w:p>
    <w:p>
      <w:pPr>
        <w:pStyle w:val="BodyText"/>
      </w:pPr>
      <w:r>
        <w:t xml:space="preserve">Kuala Lumpur</w:t>
      </w:r>
      <w:bookmarkStart w:id="38" w:name="kl3"/>
      <w:bookmarkEnd w:id="38"/>
      <w:r>
        <w:t xml:space="preserve">,</w:t>
      </w:r>
      <w:hyperlink w:anchor="ref1">
        <w:r>
          <w:rPr>
            <w:rStyle w:val="Hyperlink"/>
            <w:vertAlign w:val="superscript"/>
          </w:rPr>
          <w:t xml:space="preserve">1</w:t>
        </w:r>
      </w:hyperlink>
      <w:r>
        <w:t xml:space="preserve"> </w:t>
      </w:r>
      <w:r>
        <w:t xml:space="preserve">serves as the critical linchpin between clinical care and technological reliability. While operating within the broader context of</w:t>
      </w:r>
      <w:r>
        <w:t xml:space="preserve"> </w:t>
      </w:r>
      <w:r>
        <w:rPr>
          <w:bCs/>
          <w:b/>
        </w:rPr>
        <w:t xml:space="preserve">Malaysia</w:t>
      </w:r>
      <w:bookmarkStart w:id="39" w:name="mal2"/>
      <w:bookmarkEnd w:id="39"/>
      <w:hyperlink w:anchor="ref2">
        <w:r>
          <w:rPr>
            <w:rStyle w:val="Hyperlink"/>
            <w:vertAlign w:val="superscript"/>
          </w:rPr>
          <w:t xml:space="preserve">2</w:t>
        </w:r>
      </w:hyperlink>
      <w:r>
        <w:t xml:space="preserve">,</w:t>
      </w:r>
      <w:r>
        <w:br/>
      </w:r>
    </w:p>
    <w:p>
      <w:pPr>
        <w:pStyle w:val="BodyText"/>
      </w:pPr>
      <w:r>
        <w:rPr>
          <w:bCs/>
          <w:b/>
        </w:rPr>
        <w:t xml:space="preserve">Key Takeaway:</w:t>
      </w:r>
      <w:r>
        <w:t xml:space="preserve"> </w:t>
      </w:r>
      <w:r>
        <w:t xml:space="preserve">The strategic investment in skilled</w:t>
      </w:r>
      <w:r>
        <w:t xml:space="preserve"> </w:t>
      </w:r>
      <w:r>
        <w:rPr>
          <w:bCs/>
          <w:b/>
        </w:rPr>
        <w:t xml:space="preserve">Biomedical Engineers</w:t>
      </w:r>
      <w:bookmarkStart w:id="40" w:name="bme3"/>
      <w:bookmarkEnd w:id="40"/>
      <w:hyperlink w:anchor="bme3"/>
      <w:r>
        <w:t xml:space="preserve">, supported by robust regulatory frameworks and digital tools, is essential for sustaining the quality of healthcare in</w:t>
      </w:r>
    </w:p>
    <w:p>
      <w:pPr>
        <w:pStyle w:val="BodyText"/>
      </w:pPr>
      <w:r>
        <w:t xml:space="preserve">Kuala Lumpur</w:t>
      </w:r>
      <w:bookmarkStart w:id="41" w:name="kl4"/>
      <w:bookmarkEnd w:id="41"/>
      <w:r>
        <w:t xml:space="preserve">,</w:t>
      </w:r>
      <w:hyperlink w:anchor="ref3">
        <w:r>
          <w:rPr>
            <w:rStyle w:val="Hyperlink"/>
            <w:vertAlign w:val="superscript"/>
          </w:rPr>
          <w:t xml:space="preserve">3</w:t>
        </w:r>
      </w:hyperlink>
      <w:r>
        <w:t xml:space="preserve"> </w:t>
      </w:r>
      <w:r>
        <w:t xml:space="preserve">and ensuring that</w:t>
      </w:r>
      <w:r>
        <w:t xml:space="preserve"> </w:t>
      </w:r>
      <w:r>
        <w:rPr>
          <w:bCs/>
          <w:b/>
        </w:rPr>
        <w:t xml:space="preserve">Malaysia</w:t>
      </w:r>
      <w:bookmarkStart w:id="42" w:name="mal3"/>
      <w:bookmarkEnd w:id="42"/>
      <w:hyperlink w:anchor="ref4">
        <w:r>
          <w:rPr>
            <w:rStyle w:val="Hyperlink"/>
            <w:vertAlign w:val="superscript"/>
          </w:rPr>
          <w:t xml:space="preserve">4</w:t>
        </w:r>
      </w:hyperlink>
      <w:r>
        <w:t xml:space="preserve">,</w:t>
      </w:r>
      <w:r>
        <w:br/>
      </w:r>
    </w:p>
    <w:p>
      <w:pPr>
        <w:pStyle w:val="BodyText"/>
      </w:pPr>
      <w:r>
        <w:t xml:space="preserve">© 2023 Healthcare Technology Review. All rights reserved.</w:t>
      </w:r>
    </w:p>
    <w:p>
      <w:r>
        <w:pict>
          <v:rect style="width:0;height:1.5pt" o:hralign="center" o:hrstd="t" o:hr="t"/>
        </w:pict>
      </w:r>
    </w:p>
    <w:p>
      <w:pPr>
        <w:pStyle w:val="FirstParagraph"/>
      </w:pPr>
      <w:r>
        <w:rPr>
          <w:vertAlign w:val="superscript"/>
        </w:rPr>
        <w:t xml:space="preserve">1</w:t>
      </w:r>
      <w:r>
        <w:t xml:space="preserve">,</w:t>
      </w:r>
      <w:r>
        <w:br/>
      </w:r>
    </w:p>
    <w:p>
      <w:pPr>
        <w:pStyle w:val="BodyText"/>
      </w:pPr>
      <w:r>
        <w:br/>
      </w:r>
      <w:r>
        <w:t xml:space="preserve">. The profession demands a hybrid skill set combining engineering rigor with clinical empathy. As</w:t>
      </w:r>
      <w:r>
        <w:t xml:space="preserve"> </w:t>
      </w:r>
      <w:r>
        <w:rPr>
          <w:bCs/>
          <w:b/>
        </w:rPr>
        <w:t xml:space="preserve">Kuala Lumpur</w:t>
      </w:r>
      <w:r>
        <w:t xml:space="preserve"> </w:t>
      </w:r>
      <w:r>
        <w:t xml:space="preserve">continues to position itself as a medical tourism destination, the competence and adaptability of its</w:t>
      </w:r>
      <w:r>
        <w:t xml:space="preserve"> </w:t>
      </w:r>
      <w:r>
        <w:rPr>
          <w:bCs/>
          <w:b/>
        </w:rPr>
        <w:t xml:space="preserve">Biomedical Engineers</w:t>
      </w:r>
      <w:bookmarkStart w:id="43" w:name="bme4"/>
      <w:bookmarkEnd w:id="43"/>
      <w:hyperlink w:anchor="bme4"/>
      <w:r>
        <w:t xml:space="preserve"> </w:t>
      </w:r>
      <w:r>
        <w:t xml:space="preserve">will directly influence patient trust and national healthcare reputation in</w:t>
      </w:r>
      <w:r>
        <w:t xml:space="preserve"> </w:t>
      </w:r>
      <w:r>
        <w:rPr>
          <w:iCs/>
          <w:i/>
        </w:rPr>
        <w:t xml:space="preserve">Malaysia.</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Biomedical Engineering in Malaysia, Kuala Lumpur</dc:title>
  <dc:creator/>
  <cp:keywords/>
  <dcterms:created xsi:type="dcterms:W3CDTF">2026-07-29T09:12:54Z</dcterms:created>
  <dcterms:modified xsi:type="dcterms:W3CDTF">2026-07-29T09:12:54Z</dcterms:modified>
</cp:coreProperties>
</file>

<file path=docProps/custom.xml><?xml version="1.0" encoding="utf-8"?>
<Properties xmlns="http://schemas.openxmlformats.org/officeDocument/2006/custom-properties" xmlns:vt="http://schemas.openxmlformats.org/officeDocument/2006/docPropsVTypes"/>
</file>