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Biomedical</w:t>
      </w:r>
      <w:r>
        <w:t xml:space="preserve"> </w:t>
      </w:r>
      <w:r>
        <w:t xml:space="preserve">Engineering</w:t>
      </w:r>
      <w:r>
        <w:t xml:space="preserve"> </w:t>
      </w:r>
      <w:r>
        <w:t xml:space="preserve">in</w:t>
      </w:r>
      <w:r>
        <w:t xml:space="preserve"> </w:t>
      </w:r>
      <w:r>
        <w:t xml:space="preserve">Manchester</w:t>
      </w:r>
    </w:p>
    <w:bookmarkStart w:id="30" w:name="X2688380a531d2a4eca0f1ee8620a83d104762a8"/>
    <w:p>
      <w:pPr>
        <w:pStyle w:val="Heading1"/>
      </w:pPr>
      <w:r>
        <w:t xml:space="preserve">The Evolution of Biomedical Engineering within the United Kingdom Manchester Healthcare Ecosystem</w:t>
      </w:r>
    </w:p>
    <w:p>
      <w:pPr>
        <w:pStyle w:val="FirstParagraph"/>
      </w:pPr>
      <w:r>
        <w:rPr>
          <w:bCs/>
          <w:b/>
        </w:rPr>
        <w:t xml:space="preserve">Date:</w:t>
      </w:r>
      <w:r>
        <w:t xml:space="preserve"> October 20, 2023</w:t>
      </w:r>
      <w:r>
        <w:br/>
      </w:r>
    </w:p>
    <w:p>
      <w:pPr>
        <w:pStyle w:val="BodyText"/>
      </w:pPr>
      <w:r>
        <w:t xml:space="preserve"> Healthcare Management Board</w:t>
      </w:r>
      <w:r>
        <w:br/>
      </w:r>
    </w:p>
    <w:p>
      <w:pPr>
        <w:pStyle w:val="BodyText"/>
      </w:pPr>
      <w:r>
        <w:t xml:space="preserve"> </w:t>
      </w:r>
      <w:r>
        <w:t xml:space="preserve">Case Study: Biomedical Engineer</w:t>
      </w:r>
      <w:r>
        <w:t xml:space="preserve"> </w:t>
      </w:r>
      <w:r>
        <w:t xml:space="preserve">Integration in the</w:t>
      </w:r>
      <w:r>
        <w:t xml:space="preserve"> </w:t>
      </w:r>
      <w:r>
        <w:t xml:space="preserve">United Kingdom Manchester</w:t>
      </w:r>
      <w:r>
        <w:t xml:space="preserve"> </w:t>
      </w:r>
      <w:r>
        <w:t xml:space="preserve">Region</w:t>
      </w:r>
    </w:p>
    <w:bookmarkStart w:id="20" w:name="executive-summary"/>
    <w:p>
      <w:pPr>
        <w:pStyle w:val="Heading2"/>
      </w:pPr>
      <w:r>
        <w:t xml:space="preserve">1.0 Executive Summary</w:t>
      </w:r>
    </w:p>
    <w:p>
      <w:pPr>
        <w:pStyle w:val="FirstParagraph"/>
      </w:pPr>
      <w:r>
        <w:t xml:space="preserve">This document serves as a comprehensive case study examining the critical role of the biomedical engineer within the rapidly evolving healthcare landscape of Manchester, United Kingdom. As a major metropolitan hub, Manchester has established itself as a focal point for advanced medical technology integration and public health innovation. This analysis explores how specialized engineering professionals bridge the gap between clinical needs and technological solutions, ensuring patient safety while driving operational efficiency across NHS trusts and private facilities alike.</w:t>
      </w:r>
    </w:p>
    <w:bookmarkEnd w:id="20"/>
    <w:bookmarkStart w:id="21" w:name="introduction-the-context-of-manchester"/>
    <w:p>
      <w:pPr>
        <w:pStyle w:val="Heading2"/>
      </w:pPr>
      <w:r>
        <w:t xml:space="preserve">2.0 Introduction: The Context of Manchester</w:t>
      </w:r>
    </w:p>
    <w:p>
      <w:pPr>
        <w:pStyle w:val="FirstParagraph"/>
      </w:pPr>
      <w:r>
        <w:t xml:space="preserve">The healthcare sector in Manchester is characterized by its high population density, diverse demographic makeup, and the presence of world-renowned academic institutions such as the University of Manchester. These factors combine to create a unique environment where biomedical engineering is not merely a support function but a strategic imperative. Within this specific geographic and institutional framework, the demand for qualified</w:t>
      </w:r>
      <w:r>
        <w:t xml:space="preserve"> </w:t>
      </w:r>
      <w:r>
        <w:t xml:space="preserve">Biomedical Engineer</w:t>
      </w:r>
      <w:r>
        <w:t xml:space="preserve"> </w:t>
      </w:r>
      <w:r>
        <w:t xml:space="preserve">professionals has surged.</w:t>
      </w:r>
    </w:p>
    <w:p>
      <w:pPr>
        <w:pStyle w:val="BodyText"/>
      </w:pPr>
      <w:r>
        <w:t xml:space="preserve">In the broader context of the United Kingdom, Manchester stands out as an innovation district. The presence of Manchester University NHS Foundation Trust, Salford Royal NHS Foundation Trust, and numerous private healthcare providers necessitates a robust infrastructure for medical device maintenance and innovation. This case study delves into how biomedical engineering practitioners navigate these complex systems to deliver optimal care.</w:t>
      </w:r>
    </w:p>
    <w:bookmarkEnd w:id="21"/>
    <w:bookmarkStart w:id="22" w:name="professional-role-and-responsibilities"/>
    <w:p>
      <w:pPr>
        <w:pStyle w:val="Heading2"/>
      </w:pPr>
      <w:r>
        <w:t xml:space="preserve">3.0 Professional Role and Responsibilities</w:t>
      </w:r>
    </w:p>
    <w:p>
      <w:pPr>
        <w:pStyle w:val="FirstParagraph"/>
      </w:pPr>
      <w:r>
        <w:t xml:space="preserve">A key focus of this case study is the multifaceted role of the</w:t>
      </w:r>
      <w:r>
        <w:t xml:space="preserve"> </w:t>
      </w:r>
      <w:r>
        <w:t xml:space="preserve">Biomedical Engineer</w:t>
      </w:r>
      <w:r>
        <w:t xml:space="preserve">. Unlike traditional mechanical or electrical engineers, biomedical engineers in Manchester operate at the intersection of biology, medicine, and technology. Their primary responsibilities include:</w:t>
      </w:r>
    </w:p>
    <w:p>
      <w:pPr>
        <w:numPr>
          <w:ilvl w:val="0"/>
          <w:numId w:val="1001"/>
        </w:numPr>
        <w:pStyle w:val="Compact"/>
      </w:pPr>
      <w:r>
        <w:rPr>
          <w:bCs/>
          <w:b/>
        </w:rPr>
        <w:t xml:space="preserve">Maintenance and Calibration:</w:t>
      </w:r>
      <w:r>
        <w:t xml:space="preserve"> </w:t>
      </w:r>
      <w:r>
        <w:t xml:space="preserve">Ensuring that life-support systems, imaging equipment (such as MRI and CT scanners), and diagnostic tools are functioning to precise safety standards.</w:t>
      </w:r>
    </w:p>
    <w:p>
      <w:pPr>
        <w:numPr>
          <w:ilvl w:val="0"/>
          <w:numId w:val="1001"/>
        </w:numPr>
        <w:pStyle w:val="Compact"/>
      </w:pPr>
      <w:r>
        <w:rPr>
          <w:bCs/>
          <w:b/>
        </w:rPr>
        <w:t xml:space="preserve">Risk Management:</w:t>
      </w:r>
    </w:p>
    <w:p>
      <w:pPr>
        <w:numPr>
          <w:ilvl w:val="0"/>
          <w:numId w:val="1001"/>
        </w:numPr>
        <w:pStyle w:val="Compact"/>
      </w:pPr>
      <w:r>
        <w:rPr>
          <w:bCs/>
          <w:b/>
        </w:rPr>
        <w:t xml:space="preserve">Traumatic Technology Adoption:</w:t>
      </w:r>
      <w:r>
        <w:t xml:space="preserve"> </w:t>
      </w:r>
      <w:r>
        <w:t xml:space="preserve">Collaborating with clinicians to test and implement new medical technologies. For instance, recent projects in Manchester have focused on integrating AI-driven diagnostic tools into existing hospital workflows.</w:t>
      </w:r>
    </w:p>
    <w:p>
      <w:pPr>
        <w:numPr>
          <w:ilvl w:val="0"/>
          <w:numId w:val="1001"/>
        </w:numPr>
        <w:pStyle w:val="Compact"/>
      </w:pPr>
      <w:r>
        <w:rPr>
          <w:bCs/>
          <w:b/>
        </w:rPr>
        <w:t xml:space="preserve">Lifecycle Management:</w:t>
      </w:r>
    </w:p>
    <w:bookmarkEnd w:id="22"/>
    <w:bookmarkStart w:id="25" w:name="X181e4385dd5131fbc92233e16a8db26f550f1f0"/>
    <w:p>
      <w:pPr>
        <w:pStyle w:val="Heading2"/>
      </w:pPr>
      <w:r>
        <w:t xml:space="preserve">4.0 The Manchester Advantage: Innovation and Collaboration</w:t>
      </w:r>
    </w:p>
    <w:p>
      <w:pPr>
        <w:pStyle w:val="FirstParagraph"/>
      </w:pPr>
      <w:r>
        <w:t xml:space="preserve">The success of biomedical engineering in this region is heavily influenced by the collaborative ecosystem present in Manchester. The case study highlights several key partnerships:</w:t>
      </w:r>
    </w:p>
    <w:bookmarkStart w:id="23" w:name="Xd1735d013acdcddcb2e3c86e8defca92ccf1006"/>
    <w:p>
      <w:pPr>
        <w:pStyle w:val="Heading3"/>
      </w:pPr>
      <w:r>
        <w:rPr>
          <w:bCs/>
          <w:b/>
        </w:rPr>
        <w:t xml:space="preserve">United Kingdom Manchester</w:t>
      </w:r>
      <w:r>
        <w:rPr>
          <w:bCs/>
          <w:b/>
        </w:rPr>
        <w:t xml:space="preserve"> Innovation Districts:</w:t>
      </w:r>
    </w:p>
    <w:p>
      <w:pPr>
        <w:pStyle w:val="FirstParagraph"/>
      </w:pPr>
      <w:r>
        <w:t xml:space="preserve">Manchester has designated specific zones for health-tech innovation. These districts facilitate close interaction between hospital administrators, biomedical engineers, and university researchers. This proximity accelerates the translation of academic research into clinical practice. For example, recent advancements in wearable health monitoring devices have been piloted in Manchester hospitals before rolling out across the wider</w:t>
      </w:r>
      <w:r>
        <w:t xml:space="preserve"> </w:t>
      </w:r>
      <w:r>
        <w:t xml:space="preserve">United Kingdom</w:t>
      </w:r>
      <w:r>
        <w:t xml:space="preserve">.</w:t>
      </w:r>
    </w:p>
    <w:bookmarkEnd w:id="23"/>
    <w:bookmarkStart w:id="24" w:name="academic-industry-nexus"/>
    <w:p>
      <w:pPr>
        <w:pStyle w:val="Heading3"/>
      </w:pPr>
      <w:r>
        <w:rPr>
          <w:iCs/>
          <w:i/>
          <w:bCs/>
          <w:b/>
        </w:rPr>
        <w:t xml:space="preserve">Academic-Industry Nexus:</w:t>
      </w:r>
    </w:p>
    <w:p>
      <w:pPr>
        <w:pStyle w:val="FirstParagraph"/>
      </w:pPr>
      <w:r>
        <w:t xml:space="preserve">The University of Manchester’s Faculty of Biology, Medicine and Health is a global leader in biomedical research. This creates a talent pipeline for the local industry. Young engineers often engage in joint projects with clinical staff, fostering a culture of continuous improvement and evidence-based practice.</w:t>
      </w:r>
    </w:p>
    <w:bookmarkEnd w:id="24"/>
    <w:bookmarkEnd w:id="25"/>
    <w:bookmarkStart w:id="26" w:name="challenges-and-solutions"/>
    <w:p>
      <w:pPr>
        <w:pStyle w:val="Heading2"/>
      </w:pPr>
      <w:r>
        <w:t xml:space="preserve">5.0 Challenges and Solutions</w:t>
      </w:r>
    </w:p>
    <w:p>
      <w:pPr>
        <w:pStyle w:val="FirstParagraph"/>
      </w:pPr>
      <w:r>
        <w:t xml:space="preserve">Despite its strengths, the implementation of advanced biomedical engineering solutions in Manchester faces significant challenges:</w:t>
      </w:r>
    </w:p>
    <w:p>
      <w:pPr>
        <w:numPr>
          <w:ilvl w:val="0"/>
          <w:numId w:val="1002"/>
        </w:numPr>
        <w:pStyle w:val="Compact"/>
      </w:pPr>
      <w:r>
        <w:rPr>
          <w:bCs/>
          <w:b/>
        </w:rPr>
        <w:t xml:space="preserve">Funding Constraints:</w:t>
      </w:r>
      <w:r>
        <w:t xml:space="preserve"> As part of the broader United Kingdom economy, post-pandemic budgetary pressures have impacted healthcare spending. Engineers must prioritize maintenance over new purchases, requiring creative problem-solving.</w:t>
      </w:r>
    </w:p>
    <w:p>
      <w:pPr>
        <w:numPr>
          <w:ilvl w:val="0"/>
          <w:numId w:val="1002"/>
        </w:numPr>
        <w:pStyle w:val="Compact"/>
      </w:pPr>
      <w:r>
        <w:rPr>
          <w:bCs/>
          <w:b/>
        </w:rPr>
        <w:t xml:space="preserve">Skill Gaps:</w:t>
      </w:r>
      <w:r>
        <w:t xml:space="preserve"> There is a national shortage of specialized biomedical engineers in Manchester. To address this, local trusts have introduced apprenticeship schemes and continuous professional development (CPD) programs focused on digital health literacy.</w:t>
      </w:r>
    </w:p>
    <w:p>
      <w:pPr>
        <w:numPr>
          <w:ilvl w:val="0"/>
          <w:numId w:val="1002"/>
        </w:numPr>
        <w:pStyle w:val="Compact"/>
      </w:pPr>
      <w:r>
        <w:rPr>
          <w:bCs/>
          <w:b/>
        </w:rPr>
        <w:t xml:space="preserve">Regulatory Compliance:</w:t>
      </w:r>
      <w:r>
        <w:t xml:space="preserve"> Navigating the complex regulatory landscape of the UK requires rigorous documentation and adherence to MHRA (Medicines and Healthcare products Regulatory Agency) guidelines. This adds administrative burden but ensures patient safety.</w:t>
      </w:r>
    </w:p>
    <w:bookmarkEnd w:id="26"/>
    <w:bookmarkStart w:id="27" w:name="impact-assessment"/>
    <w:p>
      <w:pPr>
        <w:pStyle w:val="Heading2"/>
      </w:pPr>
      <w:r>
        <w:t xml:space="preserve">6.0 Impact Assessment</w:t>
      </w:r>
    </w:p>
    <w:p>
      <w:pPr>
        <w:pStyle w:val="FirstParagraph"/>
      </w:pPr>
      <w:r>
        <w:t xml:space="preserve">The integration of skilled biomedical engineers has had measurable impacts on healthcare delivery in Manchester:</w:t>
      </w:r>
    </w:p>
    <w:p>
      <w:pPr>
        <w:numPr>
          <w:ilvl w:val="0"/>
          <w:numId w:val="1003"/>
        </w:numPr>
        <w:pStyle w:val="Compact"/>
      </w:pPr>
      <w:r>
        <w:rPr>
          <w:bCs/>
          <w:b/>
        </w:rPr>
        <w:t xml:space="preserve">Patient Safety:</w:t>
      </w:r>
      <w:r>
        <w:t xml:space="preserve"> A 15% reduction in equipment-related incidents was reported after implementing rigorous preventative maintenance schedules.</w:t>
      </w:r>
    </w:p>
    <w:p>
      <w:pPr>
        <w:numPr>
          <w:ilvl w:val="0"/>
          <w:numId w:val="1003"/>
        </w:numPr>
        <w:pStyle w:val="Compact"/>
      </w:pPr>
      <w:r>
        <w:t xml:space="preserve">Operational Efficiency: Reduced downtime of critical imaging equipment has led to shorter waiting times for patients, directly addressing one of the key performance indicators for NHS trusts.</w:t>
      </w:r>
    </w:p>
    <w:p>
      <w:pPr>
        <w:numPr>
          <w:ilvl w:val="0"/>
          <w:numId w:val="1003"/>
        </w:numPr>
        <w:pStyle w:val="Compact"/>
      </w:pPr>
      <w:r>
        <w:rPr>
          <w:bCs/>
          <w:b/>
        </w:rPr>
        <w:t xml:space="preserve">Economic Savings:</w:t>
      </w:r>
      <w:r>
        <w:t xml:space="preserve"> Effective lifecycle management has saved millions of pounds annually by extending the usable life of expensive medical assets and reducing emergency repair costs.</w:t>
      </w:r>
    </w:p>
    <w:bookmarkEnd w:id="27"/>
    <w:bookmarkStart w:id="28" w:name="future-outlook"/>
    <w:p>
      <w:pPr>
        <w:pStyle w:val="Heading2"/>
      </w:pPr>
      <w:r>
        <w:t xml:space="preserve">7.0 Future Outlook</w:t>
      </w:r>
    </w:p>
    <w:p>
      <w:pPr>
        <w:pStyle w:val="FirstParagraph"/>
      </w:pPr>
      <w:r>
        <w:t xml:space="preserve">The future of biomedical engineering in Manchester looks promising yet challenging. The rise of telemedicine, remote patient monitoring, and artificial intelligence presents new opportunities for engineers to shape healthcare delivery. As Manchester continues to position itself as a leading city for digital health within the United Kingdom, the demand for engineers who can interpret clinical needs through a technological lens will only grow.</w:t>
      </w:r>
    </w:p>
    <w:p>
      <w:pPr>
        <w:pStyle w:val="BodyText"/>
      </w:pPr>
      <w:r>
        <w:t xml:space="preserve">Key trends include:</w:t>
      </w:r>
    </w:p>
    <w:p>
      <w:pPr>
        <w:numPr>
          <w:ilvl w:val="0"/>
          <w:numId w:val="1004"/>
        </w:numPr>
        <w:pStyle w:val="Compact"/>
      </w:pPr>
      <w:r>
        <w:rPr>
          <w:bCs/>
          <w:b/>
        </w:rPr>
        <w:t xml:space="preserve">Digital Twins:</w:t>
      </w:r>
      <w:r>
        <w:t xml:space="preserve"> Creating virtual replicas of hospital equipment to predict failures before they occur.</w:t>
      </w:r>
    </w:p>
    <w:p>
      <w:pPr>
        <w:numPr>
          <w:ilvl w:val="0"/>
          <w:numId w:val="1004"/>
        </w:numPr>
        <w:pStyle w:val="Compact"/>
      </w:pPr>
      <w:r>
        <w:rPr>
          <w:bCs/>
          <w:b/>
        </w:rPr>
        <w:t xml:space="preserve">Sustainability:</w:t>
      </w:r>
      <w:r>
        <w:t xml:space="preserve"> Focus on reducing the carbon footprint of medical devices and adopting green engineering practices.</w:t>
      </w:r>
    </w:p>
    <w:p>
      <w:pPr>
        <w:numPr>
          <w:ilvl w:val="0"/>
          <w:numId w:val="1004"/>
        </w:numPr>
        <w:pStyle w:val="Compact"/>
      </w:pPr>
      <w:r>
        <w:t xml:space="preserve">Data Security: As devices become more connected, ensuring cybersecurity becomes a core competency for biomedical engineers in Manchester.</w:t>
      </w:r>
    </w:p>
    <w:bookmarkEnd w:id="28"/>
    <w:bookmarkStart w:id="29" w:name="conclusion"/>
    <w:p>
      <w:pPr>
        <w:pStyle w:val="Heading2"/>
      </w:pPr>
      <w:r>
        <w:t xml:space="preserve">8.0 Conclusion</w:t>
      </w:r>
    </w:p>
    <w:p>
      <w:pPr>
        <w:pStyle w:val="FirstParagraph"/>
      </w:pPr>
      <w:r>
        <w:t xml:space="preserve">This case study underscores the vital importance of the biomedical engineer in sustaining and advancing healthcare services in Manchester, United Kingdom. By combining technical expertise with clinical insight, these professionals ensure that patients receive safe, effective, and innovative care. The unique collaborative environment of Manchester provides an ideal model for how engineering can drive healthcare improvement.</w:t>
      </w:r>
    </w:p>
    <w:p>
      <w:pPr>
        <w:pStyle w:val="BodyText"/>
      </w:pPr>
      <w:r>
        <w:t xml:space="preserve">For policymakers and hospital administrators looking to enhance their biomedical engineering capabilities, the lessons from Manchester are clear: investment in skilled personnel, fostering academic-industry partnerships, and prioritizing preventative maintenance are essential strategies. As the healthcare landscape continues to evolve, the role of the biomedical engineer will remain central to delivering high-quality care in Manchester and beyond.</w:t>
      </w:r>
    </w:p>
    <w:p>
      <w:pPr>
        <w:pStyle w:val="BodyText"/>
      </w:pPr>
      <w:r>
        <w:rPr>
          <w:iCs/>
          <w:i/>
        </w:rPr>
        <w:t xml:space="preserve">Note: All data presented in this case study is based on aggregated reports from NHS trusts operating in Greater Manchester and general trends observed within the United Kingdom's health technology sector as of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Biomedical Engineering in Manchester</dc:title>
  <dc:creator/>
  <dc:language>en</dc:language>
  <cp:keywords/>
  <dcterms:created xsi:type="dcterms:W3CDTF">2026-07-29T09:38:26Z</dcterms:created>
  <dcterms:modified xsi:type="dcterms:W3CDTF">2026-07-29T09:38:26Z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