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Colombia</w:t>
      </w:r>
      <w:r>
        <w:t xml:space="preserve"> </w:t>
      </w:r>
      <w:r>
        <w:t xml:space="preserve">Bogotá</w:t>
      </w:r>
    </w:p>
    <w:bookmarkStart w:id="28" w:name="X20c3f0064c11f9539ee458ecf3e9bd5633930ab"/>
    <w:p>
      <w:pPr>
        <w:pStyle w:val="Heading1"/>
      </w:pPr>
      <w:r>
        <w:t xml:space="preserve">Bridging Tradition and Innovation: A Strategic Case Study of a Business Consultant in Colombia Bogotá</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Colombia, Bogotá D.C.</w:t>
      </w:r>
      <w:r>
        <w:br/>
      </w:r>
      <w:r>
        <w:rPr>
          <w:bCs/>
          <w:b/>
        </w:rPr>
        <w:t xml:space="preserve">Type:</w:t>
      </w:r>
      <w:r>
        <w:t xml:space="preserve"> </w:t>
      </w:r>
      <w:r>
        <w:t xml:space="preserve">Corporate Strategy &amp; Operational Efficiency</w:t>
      </w:r>
    </w:p>
    <w:bookmarkStart w:id="20" w:name="Xc7ac72ed70aa20d30482a385fb5099e564f011f"/>
    <w:p>
      <w:pPr>
        <w:pStyle w:val="Heading2"/>
      </w:pPr>
      <w:r>
        <w:t xml:space="preserve">&gt;</w:t>
      </w:r>
      <w:r>
        <w:t xml:space="preserve"> </w:t>
      </w:r>
      <w:r>
        <w:t xml:space="preserve">In the dynamic economic landscape of Latin America, few cities offer as much potential and complexity as</w:t>
      </w:r>
      <w:r>
        <w:t xml:space="preserve"> </w:t>
      </w:r>
      <w:r>
        <w:rPr>
          <w:bCs/>
          <w:b/>
        </w:rPr>
        <w:t xml:space="preserve">Colombia Bogotá</w:t>
      </w:r>
      <w:r>
        <w:t xml:space="preserve">. As the capital and largest city, it serves as the administrative, cultural, and commercial heart of the nation. This case study examines a comprehensive engagement where an external</w:t>
      </w:r>
      <w:r>
        <w:t xml:space="preserve"> </w:t>
      </w:r>
      <w:r>
        <w:rPr>
          <w:bCs/>
          <w:b/>
        </w:rPr>
        <w:t xml:space="preserve">Business Consultant</w:t>
      </w:r>
      <w:r>
        <w:t xml:space="preserve"> </w:t>
      </w:r>
      <w:r>
        <w:t xml:space="preserve">was tasked with revitalizing a mid-sized logistics firm operating within this vibrant metropolis. The primary objective was to navigate regulatory hurdles, optimize supply chain operations amidst urban congestion, and implement digital transformation strategies tailored to the specific nuances of the Colombian market.</w:t>
      </w:r>
    </w:p>
    <w:bookmarkEnd w:id="20"/>
    <w:bookmarkStart w:id="21" w:name="Xc803b5a6e47ad7640c5ffa911cbce4225501ac4"/>
    <w:p>
      <w:pPr>
        <w:pStyle w:val="Heading2"/>
      </w:pPr>
      <w:r>
        <w:t xml:space="preserve">Client Background: The Challenge in the Andes</w:t>
      </w:r>
    </w:p>
    <w:p>
      <w:pPr>
        <w:pStyle w:val="FirstParagraph"/>
      </w:pPr>
      <w:r>
        <w:t xml:space="preserve">The client, a regional logistics provider established for over two decades, found itself facing stagnating growth and eroding profit margins. Operating primarily out of</w:t>
      </w:r>
      <w:r>
        <w:t xml:space="preserve"> </w:t>
      </w:r>
      <w:r>
        <w:rPr>
          <w:bCs/>
          <w:b/>
        </w:rPr>
        <w:t xml:space="preserve">Colombia Bogotá</w:t>
      </w:r>
      <w:r>
        <w:t xml:space="preserve">, the company relied heavily on traditional manual processes for inventory management and fleet dispatching. While the company had strong relationships with local clients in Antioquia and Valle del Cauca, its inability to scale efficiently within the capital city became a critical bottleneck.</w:t>
      </w:r>
      <w:r>
        <w:t xml:space="preserve"> </w:t>
      </w:r>
      <w:r>
        <w:t xml:space="preserve">The core challenges identified were threefold:</w:t>
      </w:r>
      <w:r>
        <w:t xml:space="preserve"> </w:t>
      </w:r>
      <w:r>
        <w:t xml:space="preserve">1.</w:t>
      </w:r>
      <w:r>
        <w:t xml:space="preserve"> </w:t>
      </w:r>
      <w:r>
        <w:rPr>
          <w:bCs/>
          <w:b/>
        </w:rPr>
        <w:t xml:space="preserve">Operational Inefficiency:</w:t>
      </w:r>
      <w:r>
        <w:t xml:space="preserve"> </w:t>
      </w:r>
      <w:r>
        <w:t xml:space="preserve">High fuel consumption and vehicle downtime due to poor route planning in Bogotá’s notoriously congested traffic zones (such as the Calle 26 corridor).</w:t>
      </w:r>
      <w:r>
        <w:t xml:space="preserve"> </w:t>
      </w:r>
      <w:r>
        <w:t xml:space="preserve">2.</w:t>
      </w:r>
      <w:r>
        <w:t xml:space="preserve"> </w:t>
      </w:r>
      <w:r>
        <w:rPr>
          <w:bCs/>
          <w:b/>
        </w:rPr>
        <w:t xml:space="preserve">Digital Gap:</w:t>
      </w:r>
      <w:r>
        <w:t xml:space="preserve"> </w:t>
      </w:r>
      <w:r>
        <w:t xml:space="preserve">A lack of integrated software solutions, leading to data silos and delayed decision-making.</w:t>
      </w:r>
      <w:r>
        <w:t xml:space="preserve"> </w:t>
      </w:r>
      <w:r>
        <w:t xml:space="preserve">3.</w:t>
      </w:r>
      <w:r>
        <w:t xml:space="preserve"> </w:t>
      </w:r>
      <w:r>
        <w:rPr>
          <w:bCs/>
          <w:b/>
        </w:rPr>
        <w:t xml:space="preserve">Regulatory Compliance:Colombia Bogotá</w:t>
      </w:r>
      <w:r>
        <w:t xml:space="preserve">.</w:t>
      </w:r>
    </w:p>
    <w:bookmarkEnd w:id="21"/>
    <w:bookmarkStart w:id="25" w:name="Xbe696fc725bdd4b54a81813aedae313af274671"/>
    <w:p>
      <w:pPr>
        <w:pStyle w:val="Heading2"/>
      </w:pPr>
      <w:r>
        <w:t xml:space="preserve">The Consultancy Approach: Adapting to Local Realities</w:t>
      </w:r>
    </w:p>
    <w:p>
      <w:pPr>
        <w:pStyle w:val="FirstParagraph"/>
      </w:pPr>
      <w:r>
        <w:t xml:space="preserve">Upon engagement, the</w:t>
      </w:r>
      <w:r>
        <w:t xml:space="preserve"> </w:t>
      </w:r>
      <w:r>
        <w:rPr>
          <w:bCs/>
          <w:b/>
        </w:rPr>
        <w:t xml:space="preserve">Business Consultant adopted a methodology known as "Glocalization"—applying global best practices while deeply respecting local context. The first phase involved an extensive diagnostic audit. Rather than imposing a generic corporate strategy, the consultant spent two weeks on-site in</w:t>
      </w:r>
      <w:r>
        <w:rPr>
          <w:bCs/>
          <w:b/>
        </w:rPr>
        <w:t xml:space="preserve"> </w:t>
      </w:r>
      <w:r>
        <w:rPr>
          <w:bCs/>
          <w:b/>
          <w:bCs/>
          <w:b/>
        </w:rPr>
        <w:t xml:space="preserve">Colombia Bogotá</w:t>
      </w:r>
      <w:r>
        <w:rPr>
          <w:bCs/>
          <w:b/>
        </w:rPr>
        <w:t xml:space="preserve">, interviewing drivers, warehouse staff, and senior management to understand the human element of the business.</w:t>
      </w:r>
    </w:p>
    <w:p>
      <w:pPr>
        <w:pStyle w:val="BodyText"/>
      </w:pPr>
      <w:r>
        <w:rPr>
          <w:iCs/>
          <w:i/>
        </w:rPr>
        <w:t xml:space="preserve">"In Colombia Bogotá, business is personal. Trust is built face-to-face over a cup of tinto (coffee). The consultant recognized that any digital transformation had to be introduced not as a surveillance tool, but as an empowerment mechanism for our staff."</w:t>
      </w:r>
      <w:r>
        <w:t xml:space="preserve"> </w:t>
      </w:r>
      <w:r>
        <w:t xml:space="preserve">— CEO of the Client Company</w:t>
      </w:r>
    </w:p>
    <w:bookmarkStart w:id="22" w:name="X936a1f9b9f61ff60f7b357e8a848fbf79251482"/>
    <w:p>
      <w:pPr>
        <w:pStyle w:val="Heading3"/>
      </w:pPr>
      <w:r>
        <w:t xml:space="preserve">Phase 1: Digital Infrastructure and Process Re-engineering</w:t>
      </w:r>
    </w:p>
    <w:p>
      <w:pPr>
        <w:pStyle w:val="FirstParagraph"/>
      </w:pPr>
      <w:r>
        <w:t xml:space="preserve">The initial recommendation was the implementation of a cloud-based Fleet Management System (FMS) tailored for Latin American markets. This system needed to integrate with local mapping services that accurately accounted for Bogotá’s unique road infrastructure, including highway closures on Fridays (Pico y Placa restrictions).</w:t>
      </w:r>
      <w:r>
        <w:t xml:space="preserve"> </w:t>
      </w:r>
      <w:r>
        <w:t xml:space="preserve">The</w:t>
      </w:r>
      <w:r>
        <w:t xml:space="preserve"> </w:t>
      </w:r>
      <w:r>
        <w:rPr>
          <w:bCs/>
          <w:b/>
        </w:rPr>
        <w:t xml:space="preserve">Business Consultant</w:t>
      </w:r>
      <w:r>
        <w:t xml:space="preserve"> </w:t>
      </w:r>
      <w:r>
        <w:t xml:space="preserve">facilitated workshops to select software that offered real-time tracking and predictive maintenance alerts. Crucially, the training program was designed in Spanish, focusing on user-friendly interfaces to ensure adoption by drivers with varying levels of technical proficiency. This step was vital for ensuring that the technology served the people, not vice versa.</w:t>
      </w:r>
    </w:p>
    <w:bookmarkEnd w:id="22"/>
    <w:bookmarkStart w:id="23" w:name="Xcd36b5be29c3d8b59b53f6acfc942af410e0354"/>
    <w:p>
      <w:pPr>
        <w:pStyle w:val="Heading3"/>
      </w:pPr>
      <w:r>
        <w:t xml:space="preserve">Phase 2: Regulatory Navigation and Sustainability</w:t>
      </w:r>
    </w:p>
    <w:p>
      <w:pPr>
        <w:pStyle w:val="FirstParagraph"/>
      </w:pPr>
      <w:r>
        <w:t xml:space="preserve">A significant portion of the consultancy focused on compliance within</w:t>
      </w:r>
      <w:r>
        <w:t xml:space="preserve"> </w:t>
      </w:r>
      <w:r>
        <w:rPr>
          <w:bCs/>
          <w:b/>
        </w:rPr>
        <w:t xml:space="preserve">Colombia Bogotá</w:t>
      </w:r>
      <w:r>
        <w:t xml:space="preserve">. The city government has been aggressively enforcing stricter emission controls under initiatives like "Súmate" (an environmental plan for air quality). The consultant partnered with local legal experts to audit the client’s fleet against these new standards.</w:t>
      </w:r>
      <w:r>
        <w:t xml:space="preserve"> </w:t>
      </w:r>
      <w:r>
        <w:t xml:space="preserve">Strategies included:</w:t>
      </w:r>
      <w:r>
        <w:t xml:space="preserve"> </w:t>
      </w:r>
      <w:r>
        <w:t xml:space="preserve">* Phasing out older diesel trucks in favor of CNG (Compressed Natural Gas) vehicles, which were incentivized by municipal subsidies in</w:t>
      </w:r>
      <w:r>
        <w:t xml:space="preserve"> </w:t>
      </w:r>
      <w:r>
        <w:rPr>
          <w:bCs/>
          <w:b/>
        </w:rPr>
        <w:t xml:space="preserve">Colombia Bogotá</w:t>
      </w:r>
      <w:r>
        <w:t xml:space="preserve">.</w:t>
      </w:r>
      <w:r>
        <w:t xml:space="preserve"> </w:t>
      </w:r>
      <w:r>
        <w:t xml:space="preserve">* Implementing a green logistics hub on the outskirts of the city to consolidate deliveries, reducing the number of heavy vehicles entering the dense urban center.</w:t>
      </w:r>
    </w:p>
    <w:bookmarkEnd w:id="23"/>
    <w:bookmarkStart w:id="24" w:name="Xb74d0b5d18743f5c2be1cd72de70821d232cb2b"/>
    <w:p>
      <w:pPr>
        <w:pStyle w:val="Heading3"/>
      </w:pPr>
      <w:r>
        <w:t xml:space="preserve">Phase 3: Organizational Culture and Change Management</w:t>
      </w:r>
    </w:p>
    <w:p>
      <w:pPr>
        <w:pStyle w:val="FirstParagraph"/>
      </w:pPr>
      <w:r>
        <w:t xml:space="preserve">Technological changes often fail due to cultural resistance. In</w:t>
      </w:r>
      <w:r>
        <w:t xml:space="preserve"> </w:t>
      </w:r>
      <w:r>
        <w:rPr>
          <w:bCs/>
          <w:b/>
        </w:rPr>
        <w:t xml:space="preserve">Colombia Bogotá</w:t>
      </w:r>
      <w:r>
        <w:t xml:space="preserve">, hierarchical structures can sometimes hinder open communication about operational inefficiencies. The</w:t>
      </w:r>
      <w:r>
        <w:t xml:space="preserve"> </w:t>
      </w:r>
      <w:r>
        <w:rPr>
          <w:bCs/>
          <w:b/>
        </w:rPr>
        <w:t xml:space="preserve">Business Consultant</w:t>
      </w:r>
      <w:r>
        <w:t xml:space="preserve"> </w:t>
      </w:r>
      <w:r>
        <w:t xml:space="preserve">introduced agile management practices, encouraging cross-functional teams to solve problems collaboratively. Regular town-hall meetings were held to transparently discuss progress and challenges, fostering a culture of accountability and innovation.</w:t>
      </w:r>
    </w:p>
    <w:bookmarkEnd w:id="24"/>
    <w:bookmarkEnd w:id="25"/>
    <w:bookmarkStart w:id="26" w:name="results-and-impact-analysis"/>
    <w:p>
      <w:pPr>
        <w:pStyle w:val="Heading2"/>
      </w:pPr>
      <w:r>
        <w:t xml:space="preserve">Results and Impact Analysis</w:t>
      </w:r>
    </w:p>
    <w:p>
      <w:pPr>
        <w:pStyle w:val="FirstParagraph"/>
      </w:pPr>
      <w:r>
        <w:t xml:space="preserve">Six months post-implementation, the results demonstrated a significant turnaround for the client company. The data indicated:</w:t>
      </w:r>
    </w:p>
    <w:p>
      <w:pPr>
        <w:numPr>
          <w:ilvl w:val="0"/>
          <w:numId w:val="1001"/>
        </w:numPr>
        <w:pStyle w:val="Compact"/>
      </w:pPr>
      <w:r>
        <w:rPr>
          <w:bCs/>
          <w:b/>
        </w:rPr>
        <w:t xml:space="preserve">Cost Reduction:</w:t>
      </w:r>
      <w:r>
        <w:t xml:space="preserve"> </w:t>
      </w:r>
      <w:r>
        <w:t xml:space="preserve">Fuel costs decreased by 18% due to optimized routing and the transition to more efficient vehicle types compliant with local environmental laws.</w:t>
      </w:r>
    </w:p>
    <w:p>
      <w:pPr>
        <w:numPr>
          <w:ilvl w:val="0"/>
          <w:numId w:val="1001"/>
        </w:numPr>
        <w:pStyle w:val="Compact"/>
      </w:pPr>
      <w:r>
        <w:rPr>
          <w:bCs/>
          <w:b/>
        </w:rPr>
        <w:t xml:space="preserve">Operational Efficiency:Colombia Bogotá</w:t>
      </w:r>
      <w:r>
        <w:t xml:space="preserve">.</w:t>
      </w:r>
    </w:p>
    <w:p>
      <w:pPr>
        <w:numPr>
          <w:ilvl w:val="0"/>
          <w:numId w:val="1001"/>
        </w:numPr>
        <w:pStyle w:val="Compact"/>
      </w:pPr>
      <w:r>
        <w:t xml:space="preserve">Digital Adoption:User adoption rates among drivers reached 85%, exceeding the initial projection of 60%. Employee satisfaction scores increased, as staff felt more supported by modern tools.</w:t>
      </w:r>
    </w:p>
    <w:p>
      <w:pPr>
        <w:numPr>
          <w:ilvl w:val="0"/>
          <w:numId w:val="1001"/>
        </w:numPr>
        <w:pStyle w:val="Compact"/>
      </w:pPr>
      <w:r>
        <w:rPr>
          <w:bCs/>
          <w:b/>
        </w:rPr>
        <w:t xml:space="preserve">Regulatory Status:</w:t>
      </w:r>
      <w:r>
        <w:t xml:space="preserve">The company achieved full compliance with Bogotá’s environmental standards, avoiding potential fines and gaining eligibility for government contracts that require strict sustainability metrics.</w:t>
      </w:r>
    </w:p>
    <w:bookmarkEnd w:id="26"/>
    <w:bookmarkStart w:id="27" w:name="key-takeaways-for-future-engagements"/>
    <w:p>
      <w:pPr>
        <w:pStyle w:val="Heading2"/>
      </w:pPr>
      <w:r>
        <w:t xml:space="preserve">Key Takeaways for Future Engagements</w:t>
      </w:r>
    </w:p>
    <w:p>
      <w:pPr>
        <w:pStyle w:val="FirstParagraph"/>
      </w:pPr>
      <w:r>
        <w:t xml:space="preserve">&gt;</w:t>
      </w:r>
      <w:r>
        <w:t xml:space="preserve"> </w:t>
      </w:r>
      <w:r>
        <w:t xml:space="preserve">This case study highlights several critical lessons for any</w:t>
      </w:r>
      <w:r>
        <w:t xml:space="preserve"> </w:t>
      </w:r>
      <w:r>
        <w:rPr>
          <w:bCs/>
          <w:b/>
        </w:rPr>
        <w:t xml:space="preserve">Business Consultant</w:t>
      </w:r>
      <w:r>
        <w:t xml:space="preserve"> </w:t>
      </w:r>
      <w:r>
        <w:t xml:space="preserve">operating in emerging markets, specifically within the complex urban environment of</w:t>
      </w:r>
      <w:r>
        <w:t xml:space="preserve"> </w:t>
      </w:r>
      <w:r>
        <w:rPr>
          <w:bCs/>
          <w:b/>
        </w:rPr>
        <w:t xml:space="preserve">Colombia Bogotá:</w:t>
      </w:r>
      <w:r>
        <w:rPr>
          <w:bCs/>
          <w:b/>
        </w:rPr>
        <w:t xml:space="preserve"> </w:t>
      </w:r>
      <w:r>
        <w:rPr>
          <w:bCs/>
          <w:b/>
        </w:rPr>
        <w:t xml:space="preserve">1. **Context is King:</w:t>
      </w:r>
      <w:r>
        <w:t xml:space="preserve">Colombia Bogotá. Understanding local traffic patterns, legal requirements, and cultural nuances is not optional; it is foundational.</w:t>
      </w:r>
    </w:p>
    <w:p>
      <w:pPr>
        <w:pStyle w:val="BodyText"/>
      </w:pPr>
      <w:r>
        <w:t xml:space="preserve">Human-Centric Technology:Digital transformation must be accompanied by robust change management. In a relationship-driven society like Colombia, buy-in from employees depends on how well the benefits are communicated and how respectful the implementation process is of local work cultures.</w:t>
      </w:r>
    </w:p>
    <w:p>
      <w:pPr>
        <w:pStyle w:val="BodyText"/>
      </w:pPr>
      <w:r>
        <w:t xml:space="preserve">Sustainability as Strategy:In</w:t>
      </w:r>
    </w:p>
    <w:p>
      <w:pPr>
        <w:pStyle w:val="BodyText"/>
      </w:pPr>
      <w:r>
        <w:t xml:space="preserve">Colombia Bogotá, environmental compliance is not just about avoiding fines; it is a competitive advantage. Companies that proactively adopt green logistics practices position themselves favorably for future government incentives and corporate social responsibility (CSR) partnerships.</w:t>
      </w:r>
    </w:p>
    <w:p>
      <w:pPr>
        <w:pStyle w:val="BodyText"/>
      </w:pPr>
      <w:r>
        <w:t xml:space="preserve">The Role of the Consultant:The most effective</w:t>
      </w:r>
      <w:r>
        <w:t xml:space="preserve"> </w:t>
      </w:r>
      <w:r>
        <w:rPr>
          <w:bCs/>
          <w:b/>
        </w:rPr>
        <w:t xml:space="preserve">Business Consultant</w:t>
      </w:r>
      <w:r>
        <w:t xml:space="preserve"> </w:t>
      </w:r>
      <w:r>
        <w:t xml:space="preserve">acts as a bridge. They translate global best practices into local actions, ensuring that international standards are met while respecting local traditions and constraints.</w:t>
      </w:r>
    </w:p>
    <w:p>
      <w:pPr>
        <w:pStyle w:val="BodyText"/>
      </w:pPr>
      <w:r>
        <w:t xml:space="preserve">&gt;</w:t>
      </w:r>
      <w:r>
        <w:t xml:space="preserve"> </w:t>
      </w:r>
      <w:r>
        <w:t xml:space="preserve">The transformation of this logistics firm stands as a testament to the power of tailored strategic consulting. By focusing on the specific needs of the market in</w:t>
      </w:r>
      <w:r>
        <w:t xml:space="preserve"> </w:t>
      </w:r>
      <w:r>
        <w:rPr>
          <w:bCs/>
          <w:b/>
        </w:rPr>
        <w:t xml:space="preserve">Colombia Bogotá</w:t>
      </w:r>
      <w:r>
        <w:t xml:space="preserve">, the</w:t>
      </w:r>
    </w:p>
    <w:p>
      <w:pPr>
        <w:pStyle w:val="BodyText"/>
      </w:pPr>
      <w:r>
        <w:t xml:space="preserve">Business Consultant helped unlock value that had been locked away by outdated processes and regulatory uncertainty. For other enterprises looking to expand or optimize their operations in Colombia, this case study serves as a blueprint for success: respect the local context, embrace technology with empathy, and view sustainability not as a burden, but as an opportunity. The dynamic landscape of</w:t>
      </w:r>
      <w:r>
        <w:t xml:space="preserve"> </w:t>
      </w:r>
      <w:r>
        <w:rPr>
          <w:bCs/>
          <w:b/>
        </w:rPr>
        <w:t xml:space="preserve">Colombia Bogotá</w:t>
      </w:r>
      <w:r>
        <w:t xml:space="preserve"> </w:t>
      </w:r>
      <w:r>
        <w:t xml:space="preserve">offers immense potential for those willing to engage with it thoughtfully and strategically.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Colombia Bogotá</dc:title>
  <dc:creator/>
  <dc:language>en</dc:language>
  <cp:keywords/>
  <dcterms:created xsi:type="dcterms:W3CDTF">2026-07-29T20:12:22Z</dcterms:created>
  <dcterms:modified xsi:type="dcterms:W3CDTF">2026-07-29T20:12:22Z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