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Iran</w:t>
      </w:r>
      <w:r>
        <w:t xml:space="preserve"> </w:t>
      </w:r>
      <w:r>
        <w:t xml:space="preserve">Tehran</w:t>
      </w:r>
    </w:p>
    <w:bookmarkStart w:id="29" w:name="Xfdbf367aac623f96b51b0f59b12999b99900c06"/>
    <w:p>
      <w:pPr>
        <w:pStyle w:val="Heading1"/>
      </w:pPr>
      <w:r>
        <w:t xml:space="preserve">Navigating Complexity: A Case Study on the Role of a Business Consultant in Iran Tehran</w:t>
      </w:r>
    </w:p>
    <w:p>
      <w:pPr>
        <w:pStyle w:val="FirstParagraph"/>
      </w:pPr>
      <w:r>
        <w:rPr>
          <w:bCs/>
          <w:b/>
        </w:rPr>
        <w:t xml:space="preserve">Date:</w:t>
      </w:r>
      <w:r>
        <w:t xml:space="preserve"> </w:t>
      </w:r>
      <w:r>
        <w:t xml:space="preserve">October 2023</w:t>
      </w:r>
      <w:r>
        <w:br/>
      </w:r>
      <w:r>
        <w:rPr>
          <w:bCs/>
          <w:b/>
        </w:rPr>
        <w:t xml:space="preserve">Subject:</w:t>
      </w:r>
      <w:r>
        <w:t xml:space="preserve">The transformative impact of strategic business consultant services in the volatile market of Iran Tehran.</w:t>
      </w:r>
      <w:r>
        <w:br/>
      </w:r>
      <w:r>
        <w:rPr>
          <w:bCs/>
          <w:b/>
        </w:rPr>
        <w:t xml:space="preserve">Key Entities:</w:t>
      </w:r>
      <w:r>
        <w:rPr>
          <w:iCs/>
          <w:i/>
        </w:rPr>
        <w:t xml:space="preserve">Business Consultant, Iran, Tehran</w:t>
      </w:r>
    </w:p>
    <w:bookmarkStart w:id="20" w:name="executive-summary"/>
    <w:p>
      <w:pPr>
        <w:pStyle w:val="Heading2"/>
      </w:pPr>
      <w:r>
        <w:t xml:space="preserve">1. Executive Summary</w:t>
      </w:r>
    </w:p>
    <w:p>
      <w:pPr>
        <w:pStyle w:val="FirstParagraph"/>
      </w:pPr>
      <w:r>
        <w:t xml:space="preserve">In the dynamic economic landscape of the Middle East,</w:t>
      </w:r>
      <w:r>
        <w:t xml:space="preserve"> </w:t>
      </w:r>
      <w:r>
        <w:rPr>
          <w:bCs/>
          <w:b/>
        </w:rPr>
        <w:t xml:space="preserve">Tehran</w:t>
      </w:r>
      <w:r>
        <w:t xml:space="preserve">, the capital of</w:t>
      </w:r>
      <w:r>
        <w:t xml:space="preserve"> </w:t>
      </w:r>
      <w:r>
        <w:rPr>
          <w:bCs/>
          <w:b/>
        </w:rPr>
        <w:t xml:space="preserve">Iran</w:t>
      </w:r>
      <w:r>
        <w:t xml:space="preserve">, represents a unique paradox. It is a city of immense human capital and entrepreneurial spirit, yet it operates under a complex web of international sanctions, fluctuating currency values, and rapidly shifting regulatory frameworks. This case study explores how engaging a specialized</w:t>
      </w:r>
      <w:r>
        <w:t xml:space="preserve"> </w:t>
      </w:r>
      <w:r>
        <w:rPr>
          <w:iCs/>
          <w:i/>
        </w:rPr>
        <w:t xml:space="preserve">Business Consultant</w:t>
      </w:r>
      <w:r>
        <w:t xml:space="preserve"> </w:t>
      </w:r>
      <w:r>
        <w:t xml:space="preserve">can provide the necessary strategic agility for multinational corporations and local enterprises alike to thrive in this challenging environment. By analyzing specific operational challenges within</w:t>
      </w:r>
      <w:r>
        <w:t xml:space="preserve"> </w:t>
      </w:r>
      <w:r>
        <w:rPr>
          <w:bCs/>
          <w:b/>
        </w:rPr>
        <w:t xml:space="preserve">Tehran</w:t>
      </w:r>
      <w:r>
        <w:t xml:space="preserve">, we demonstrate that professional consulting is not merely an advisory service but a critical survival mechanism for sustainable growth in</w:t>
      </w:r>
      <w:r>
        <w:t xml:space="preserve"> </w:t>
      </w:r>
      <w:r>
        <w:rPr>
          <w:bCs/>
          <w:b/>
        </w:rPr>
        <w:t xml:space="preserve">Iran</w:t>
      </w:r>
      <w:r>
        <w:t xml:space="preserve">.</w:t>
      </w:r>
    </w:p>
    <w:bookmarkEnd w:id="20"/>
    <w:bookmarkStart w:id="21" w:name="client-profile-and-initial-challenge"/>
    <w:p>
      <w:pPr>
        <w:pStyle w:val="Heading2"/>
      </w:pPr>
      <w:r>
        <w:t xml:space="preserve">2. Client Profile and Initial Challenge</w:t>
      </w:r>
    </w:p>
    <w:p>
      <w:pPr>
        <w:pStyle w:val="FirstParagraph"/>
      </w:pPr>
      <w:r>
        <w:t xml:space="preserve">The client, "GlobalTech Solutions," is a mid-sized European technology firm seeking to expand its software distribution network into the Persian market. Their primary objective was to establish a local partnership in</w:t>
      </w:r>
      <w:r>
        <w:t xml:space="preserve"> </w:t>
      </w:r>
      <w:r>
        <w:rPr>
          <w:bCs/>
          <w:b/>
        </w:rPr>
        <w:t xml:space="preserve">Tehran</w:t>
      </w:r>
      <w:r>
        <w:t xml:space="preserve"> </w:t>
      </w:r>
      <w:r>
        <w:t xml:space="preserve">that would ensure compliance with local laws while maximizing market penetration. However, GlobalTech faced several immediate hurdles:</w:t>
      </w:r>
    </w:p>
    <w:p>
      <w:pPr>
        <w:numPr>
          <w:ilvl w:val="0"/>
          <w:numId w:val="1001"/>
        </w:numPr>
        <w:pStyle w:val="Compact"/>
      </w:pPr>
      <w:r>
        <w:rPr>
          <w:bCs/>
          <w:b/>
        </w:rPr>
        <w:t xml:space="preserve">Lack of Local Insight:</w:t>
      </w:r>
      <w:r>
        <w:t xml:space="preserve"> </w:t>
      </w:r>
      <w:r>
        <w:t xml:space="preserve">The firm had no prior experience navigating the bureaucratic nuances of business registration and taxation in</w:t>
      </w:r>
      <w:r>
        <w:t xml:space="preserve"> </w:t>
      </w:r>
      <w:r>
        <w:rPr>
          <w:iCs/>
          <w:i/>
        </w:rPr>
        <w:t xml:space="preserve">Iran</w:t>
      </w:r>
      <w:r>
        <w:t xml:space="preserve">.</w:t>
      </w:r>
    </w:p>
    <w:p>
      <w:pPr>
        <w:numPr>
          <w:ilvl w:val="0"/>
          <w:numId w:val="1001"/>
        </w:numPr>
        <w:pStyle w:val="Compact"/>
      </w:pPr>
      <w:r>
        <w:rPr>
          <w:bCs/>
          <w:b/>
        </w:rPr>
        <w:t xml:space="preserve">Cultural Misalignment:</w:t>
      </w:r>
      <w:r>
        <w:t xml:space="preserve"> </w:t>
      </w:r>
      <w:r>
        <w:t xml:space="preserve">There was a significant gap in understanding the negotiation styles and relationship-building protocols valued by Iranian stakeholders.</w:t>
      </w:r>
    </w:p>
    <w:p>
      <w:pPr>
        <w:numPr>
          <w:ilvl w:val="0"/>
          <w:numId w:val="1001"/>
        </w:numPr>
        <w:pStyle w:val="Compact"/>
      </w:pPr>
      <w:r>
        <w:rPr>
          <w:bCs/>
          <w:b/>
        </w:rPr>
        <w:t xml:space="preserve">Regulatory Ambiguity:</w:t>
      </w:r>
      <w:r>
        <w:t xml:space="preserve"> </w:t>
      </w:r>
      <w:r>
        <w:t xml:space="preserve">With sanctions evolving frequently, standard international legal frameworks often failed to address the specific constraints operating within</w:t>
      </w:r>
      <w:r>
        <w:t xml:space="preserve"> </w:t>
      </w:r>
      <w:r>
        <w:rPr>
          <w:iCs/>
          <w:i/>
        </w:rPr>
        <w:t xml:space="preserve">Tehran</w:t>
      </w:r>
      <w:r>
        <w:t xml:space="preserve">.</w:t>
      </w:r>
    </w:p>
    <w:p>
      <w:pPr>
        <w:pStyle w:val="FirstParagraph"/>
      </w:pPr>
      <w:r>
        <w:t xml:space="preserve">Without intervention, GlobalTech risked significant financial loss and reputational damage. The decision was made to hire a specialized</w:t>
      </w:r>
      <w:r>
        <w:t xml:space="preserve"> </w:t>
      </w:r>
      <w:r>
        <w:rPr>
          <w:iCs/>
          <w:i/>
        </w:rPr>
        <w:t xml:space="preserve">Business Consultant</w:t>
      </w:r>
      <w:r>
        <w:t xml:space="preserve"> </w:t>
      </w:r>
      <w:r>
        <w:t xml:space="preserve">with deep roots in the region.</w:t>
      </w:r>
    </w:p>
    <w:bookmarkEnd w:id="21"/>
    <w:bookmarkStart w:id="25" w:name="X6aa2487f685a607ccc8a51c7cf7b65766b5b8ec"/>
    <w:p>
      <w:pPr>
        <w:pStyle w:val="Heading2"/>
      </w:pPr>
      <w:r>
        <w:t xml:space="preserve">3. The Role of the Business Consultant in Tehran</w:t>
      </w:r>
    </w:p>
    <w:p>
      <w:pPr>
        <w:pStyle w:val="FirstParagraph"/>
      </w:pPr>
      <w:r>
        <w:t xml:space="preserve">The appointed</w:t>
      </w:r>
      <w:r>
        <w:t xml:space="preserve"> </w:t>
      </w:r>
      <w:r>
        <w:rPr>
          <w:iCs/>
          <w:i/>
        </w:rPr>
        <w:t xml:space="preserve">Business Consultant</w:t>
      </w:r>
      <w:r>
        <w:t xml:space="preserve"> </w:t>
      </w:r>
      <w:r>
        <w:t xml:space="preserve">did not simply provide a report; they acted as an embedded strategic partner. Their role was multifaceted, specifically tailored to the realities of operating in</w:t>
      </w:r>
      <w:r>
        <w:t xml:space="preserve"> </w:t>
      </w:r>
      <w:r>
        <w:rPr>
          <w:bCs/>
          <w:b/>
        </w:rPr>
        <w:t xml:space="preserve">Tehran</w:t>
      </w:r>
      <w:r>
        <w:t xml:space="preserve">.</w:t>
      </w:r>
    </w:p>
    <w:bookmarkStart w:id="22" w:name="navigating-regulatory-frameworks"/>
    <w:p>
      <w:pPr>
        <w:pStyle w:val="Heading3"/>
      </w:pPr>
      <w:r>
        <w:t xml:space="preserve">3.1 Navigating Regulatory Frameworks</w:t>
      </w:r>
    </w:p>
    <w:p>
      <w:pPr>
        <w:pStyle w:val="FirstParagraph"/>
      </w:pPr>
      <w:r>
        <w:t xml:space="preserve">In</w:t>
      </w:r>
      <w:r>
        <w:t xml:space="preserve"> </w:t>
      </w:r>
      <w:r>
        <w:rPr>
          <w:bCs/>
          <w:b/>
        </w:rPr>
        <w:t xml:space="preserve">Iran</w:t>
      </w:r>
      <w:r>
        <w:t xml:space="preserve">, regulatory compliance is often opaque and subject to sudden changes. The consultant first conducted a comprehensive audit of GlobalTech’s proposed operational model against current Iranian commercial laws. This involved liaising with local legal experts in</w:t>
      </w:r>
      <w:r>
        <w:t xml:space="preserve"> </w:t>
      </w:r>
      <w:r>
        <w:rPr>
          <w:iCs/>
          <w:i/>
        </w:rPr>
        <w:t xml:space="preserve">Tehran</w:t>
      </w:r>
      <w:r>
        <w:t xml:space="preserve"> </w:t>
      </w:r>
      <w:r>
        <w:t xml:space="preserve">to interpret how international sanctions might impact specific technology imports. The consultant identified permissible channels for technology transfer that aligned with both European export controls and Iranian import regulations, ensuring the client remained on the right side of complex geopolitical boundaries.</w:t>
      </w:r>
    </w:p>
    <w:bookmarkEnd w:id="22"/>
    <w:bookmarkStart w:id="23" w:name="cultural-integration-and-negotiation"/>
    <w:p>
      <w:pPr>
        <w:pStyle w:val="Heading3"/>
      </w:pPr>
      <w:r>
        <w:t xml:space="preserve">3.2 Cultural Integration and Negotiation</w:t>
      </w:r>
    </w:p>
    <w:p>
      <w:pPr>
        <w:pStyle w:val="FirstParagraph"/>
      </w:pPr>
      <w:r>
        <w:t xml:space="preserve">Business in</w:t>
      </w:r>
      <w:r>
        <w:t xml:space="preserve"> </w:t>
      </w:r>
      <w:r>
        <w:rPr>
          <w:bCs/>
          <w:b/>
        </w:rPr>
        <w:t xml:space="preserve">Tehran</w:t>
      </w:r>
      <w:r>
        <w:t xml:space="preserve"> </w:t>
      </w:r>
      <w:r>
        <w:t xml:space="preserve">is heavily reliant on personal relationships (*Taarof* culture). A standard transactional approach often fails here. The</w:t>
      </w:r>
      <w:r>
        <w:t xml:space="preserve"> </w:t>
      </w:r>
      <w:r>
        <w:rPr>
          <w:iCs/>
          <w:i/>
        </w:rPr>
        <w:t xml:space="preserve">Business Consultant</w:t>
      </w:r>
      <w:r>
        <w:t xml:space="preserve"> </w:t>
      </w:r>
      <w:r>
        <w:t xml:space="preserve">facilitated a series of introductory meetings, coaching GlobalTech executives on local etiquette, appropriate gift-giving practices, and the importance of patience in decision-making processes. They explained that in</w:t>
      </w:r>
      <w:r>
        <w:t xml:space="preserve"> </w:t>
      </w:r>
      <w:r>
        <w:rPr>
          <w:iCs/>
          <w:i/>
        </w:rPr>
        <w:t xml:space="preserve">Iran</w:t>
      </w:r>
      <w:r>
        <w:t xml:space="preserve">, trust is established before contracts are signed. By bridging this cultural gap, the consultant helped GlobalTech secure buy-in from a key local distributor who had previously rejected other foreign firms due to perceived arrogance or lack of commitment.</w:t>
      </w:r>
    </w:p>
    <w:bookmarkEnd w:id="23"/>
    <w:bookmarkStart w:id="24" w:name="market-entry-strategy-adaptation"/>
    <w:p>
      <w:pPr>
        <w:pStyle w:val="Heading3"/>
      </w:pPr>
      <w:r>
        <w:t xml:space="preserve">3.3 Market Entry Strategy Adaptation</w:t>
      </w:r>
    </w:p>
    <w:p>
      <w:pPr>
        <w:pStyle w:val="FirstParagraph"/>
      </w:pPr>
      <w:r>
        <w:t xml:space="preserve">The initial plan for</w:t>
      </w:r>
      <w:r>
        <w:t xml:space="preserve"> </w:t>
      </w:r>
      <w:r>
        <w:rPr>
          <w:bCs/>
          <w:b/>
        </w:rPr>
        <w:t xml:space="preserve">Tehran</w:t>
      </w:r>
      <w:r>
        <w:t xml:space="preserve"> </w:t>
      </w:r>
      <w:r>
        <w:t xml:space="preserve">was a direct sales model via an online platform. However, the consultant analyzed consumer behavior in</w:t>
      </w:r>
      <w:r>
        <w:t xml:space="preserve"> </w:t>
      </w:r>
      <w:r>
        <w:rPr>
          <w:iCs/>
          <w:i/>
        </w:rPr>
        <w:t xml:space="preserve">Iran</w:t>
      </w:r>
      <w:r>
        <w:t xml:space="preserve"> </w:t>
      </w:r>
      <w:r>
        <w:t xml:space="preserve">and noted a high preference for cash-based transactions and physical storefronts due to banking restrictions on international cards. The consultant advised a pivot to a hybrid model: establishing small service centers in central</w:t>
      </w:r>
      <w:r>
        <w:t xml:space="preserve"> </w:t>
      </w:r>
      <w:r>
        <w:rPr>
          <w:iCs/>
          <w:i/>
        </w:rPr>
        <w:t xml:space="preserve">Tehran</w:t>
      </w:r>
      <w:r>
        <w:t xml:space="preserve"> </w:t>
      </w:r>
      <w:r>
        <w:t xml:space="preserve">supported by local digital payment gateways. This adaptation was crucial for aligning the business model with the actual financial infrastructure available to consumers in</w:t>
      </w:r>
      <w:r>
        <w:t xml:space="preserve"> </w:t>
      </w:r>
      <w:r>
        <w:rPr>
          <w:bCs/>
          <w:b/>
        </w:rPr>
        <w:t xml:space="preserve">Iran</w:t>
      </w:r>
      <w:r>
        <w:t xml:space="preserve">.</w:t>
      </w:r>
    </w:p>
    <w:bookmarkEnd w:id="24"/>
    <w:bookmarkEnd w:id="25"/>
    <w:bookmarkStart w:id="26" w:name="implementation-and-results"/>
    <w:p>
      <w:pPr>
        <w:pStyle w:val="Heading2"/>
      </w:pPr>
      <w:r>
        <w:t xml:space="preserve">4. Implementation and Results</w:t>
      </w:r>
    </w:p>
    <w:p>
      <w:pPr>
        <w:pStyle w:val="FirstParagraph"/>
      </w:pPr>
      <w:r>
        <w:t xml:space="preserve">Over a period of six months, the</w:t>
      </w:r>
      <w:r>
        <w:t xml:space="preserve"> </w:t>
      </w:r>
      <w:r>
        <w:rPr>
          <w:iCs/>
          <w:i/>
        </w:rPr>
        <w:t xml:space="preserve">Business Consultant</w:t>
      </w:r>
      <w:r>
        <w:t xml:space="preserve"> </w:t>
      </w:r>
      <w:r>
        <w:t xml:space="preserve">guided GlobalTech through the implementation phase. The outcomes were significant:</w:t>
      </w:r>
    </w:p>
    <w:p>
      <w:pPr>
        <w:numPr>
          <w:ilvl w:val="0"/>
          <w:numId w:val="1002"/>
        </w:numPr>
        <w:pStyle w:val="Compact"/>
      </w:pPr>
      <w:r>
        <w:rPr>
          <w:bCs/>
          <w:b/>
        </w:rPr>
        <w:t xml:space="preserve">Rapid Compliance:</w:t>
      </w:r>
      <w:r>
        <w:t xml:space="preserve">The company secured all necessary permits in</w:t>
      </w:r>
      <w:r>
        <w:t xml:space="preserve"> </w:t>
      </w:r>
      <w:r>
        <w:rPr>
          <w:iCs/>
          <w:i/>
        </w:rPr>
        <w:t xml:space="preserve">Tehran</w:t>
      </w:r>
      <w:r>
        <w:t xml:space="preserve"> </w:t>
      </w:r>
      <w:r>
        <w:t xml:space="preserve">within three months, half the industry average time.</w:t>
      </w:r>
    </w:p>
    <w:p>
      <w:pPr>
        <w:numPr>
          <w:ilvl w:val="0"/>
          <w:numId w:val="1002"/>
        </w:numPr>
        <w:pStyle w:val="Compact"/>
      </w:pPr>
      <w:r>
        <w:rPr>
          <w:bCs/>
          <w:b/>
        </w:rPr>
        <w:t xml:space="preserve">Sustainable Partnerships:</w:t>
      </w:r>
      <w:r>
        <w:t xml:space="preserve">A long-term distribution agreement was signed with a reputable local firm, leveraging relationships built through the consultant’s network.</w:t>
      </w:r>
    </w:p>
    <w:p>
      <w:pPr>
        <w:numPr>
          <w:ilvl w:val="0"/>
          <w:numId w:val="1002"/>
        </w:numPr>
        <w:pStyle w:val="Compact"/>
      </w:pPr>
      <w:r>
        <w:rPr>
          <w:bCs/>
          <w:b/>
        </w:rPr>
        <w:t xml:space="preserve">Risk Mitigation:</w:t>
      </w:r>
      <w:r>
        <w:t xml:space="preserve">The hybrid operational model protected revenue streams from fluctuations in international banking corridors by utilizing localized payment solutions approved for domestic use in</w:t>
      </w:r>
      <w:r>
        <w:t xml:space="preserve"> </w:t>
      </w:r>
      <w:r>
        <w:rPr>
          <w:iCs/>
          <w:i/>
        </w:rPr>
        <w:t xml:space="preserve">Iran</w:t>
      </w:r>
      <w:r>
        <w:t xml:space="preserve">.</w:t>
      </w:r>
    </w:p>
    <w:p>
      <w:pPr>
        <w:pStyle w:val="FirstParagraph"/>
      </w:pPr>
      <w:r>
        <w:t xml:space="preserve">The client reported a 40% increase in brand recognition within the first quarter of operation, primarily due to the culturally sensitive marketing campaigns devised by the consultant.</w:t>
      </w:r>
    </w:p>
    <w:bookmarkEnd w:id="26"/>
    <w:bookmarkStart w:id="27" w:name="Xa39e92049b726d9e9e43cdd1e86b1ef9284775e"/>
    <w:p>
      <w:pPr>
        <w:pStyle w:val="Heading2"/>
      </w:pPr>
      <w:r>
        <w:t xml:space="preserve">5. Key Takeaways for Operating in Iran Tehran</w:t>
      </w:r>
    </w:p>
    <w:p>
      <w:pPr>
        <w:pStyle w:val="FirstParagraph"/>
      </w:pPr>
      <w:r>
        <w:t xml:space="preserve">This case study illustrates several critical lessons for any entity considering expansion into</w:t>
      </w:r>
      <w:r>
        <w:t xml:space="preserve"> </w:t>
      </w:r>
      <w:r>
        <w:rPr>
          <w:bCs/>
          <w:b/>
        </w:rPr>
        <w:t xml:space="preserve">Iran</w:t>
      </w:r>
      <w:r>
        <w:t xml:space="preserve">:</w:t>
      </w:r>
    </w:p>
    <w:p>
      <w:pPr>
        <w:numPr>
          <w:ilvl w:val="0"/>
          <w:numId w:val="1003"/>
        </w:numPr>
        <w:pStyle w:val="Compact"/>
      </w:pPr>
      <w:r>
        <w:rPr>
          <w:bCs/>
          <w:b/>
        </w:rPr>
        <w:t xml:space="preserve">Nuance is Non-Negotiable:</w:t>
      </w:r>
      <w:r>
        <w:t xml:space="preserve"> </w:t>
      </w:r>
      <w:r>
        <w:t xml:space="preserve">General market knowledge is insufficient. A specialized</w:t>
      </w:r>
      <w:r>
        <w:t xml:space="preserve"> </w:t>
      </w:r>
      <w:r>
        <w:rPr>
          <w:iCs/>
          <w:i/>
        </w:rPr>
        <w:t xml:space="preserve">Business Consultant</w:t>
      </w:r>
      <w:r>
        <w:t xml:space="preserve"> </w:t>
      </w:r>
      <w:r>
        <w:t xml:space="preserve">provides the granular, real-time intelligence required in a volatile market like</w:t>
      </w:r>
      <w:r>
        <w:t xml:space="preserve"> </w:t>
      </w:r>
      <w:r>
        <w:rPr>
          <w:iCs/>
          <w:i/>
        </w:rPr>
        <w:t xml:space="preserve">Tehran</w:t>
      </w:r>
      <w:r>
        <w:t xml:space="preserve">.</w:t>
      </w:r>
    </w:p>
    <w:p>
      <w:pPr>
        <w:numPr>
          <w:ilvl w:val="0"/>
          <w:numId w:val="1003"/>
        </w:numPr>
        <w:pStyle w:val="Compact"/>
      </w:pPr>
      <w:r>
        <w:rPr>
          <w:bCs/>
          <w:b/>
        </w:rPr>
        <w:t xml:space="preserve">Relationships Drive Commerce:</w:t>
      </w:r>
      <w:r>
        <w:t xml:space="preserve">In the context of</w:t>
      </w:r>
      <w:r>
        <w:t xml:space="preserve"> </w:t>
      </w:r>
      <w:r>
        <w:rPr>
          <w:bCs/>
          <w:b/>
        </w:rPr>
        <w:t xml:space="preserve">Iran Tehran</w:t>
      </w:r>
      <w:r>
        <w:t xml:space="preserve">, business is personal. Consultants who understand social dynamics provide an unfair competitive advantage.</w:t>
      </w:r>
    </w:p>
    <w:p>
      <w:pPr>
        <w:numPr>
          <w:ilvl w:val="0"/>
          <w:numId w:val="1003"/>
        </w:numPr>
        <w:pStyle w:val="Compact"/>
      </w:pPr>
      <w:r>
        <w:rPr>
          <w:bCs/>
          <w:b/>
        </w:rPr>
        <w:t xml:space="preserve">Flexibility is Currency:</w:t>
      </w:r>
      <w:r>
        <w:t xml:space="preserve">The ability to pivot strategies based on regulatory changes in</w:t>
      </w:r>
      <w:r>
        <w:t xml:space="preserve"> </w:t>
      </w:r>
      <w:r>
        <w:rPr>
          <w:iCs/>
          <w:i/>
        </w:rPr>
        <w:t xml:space="preserve">Iran</w:t>
      </w:r>
      <w:r>
        <w:t xml:space="preserve"> </w:t>
      </w:r>
      <w:r>
        <w:t xml:space="preserve">is vital. A consultant serves as the early-warning system for these shifts.</w:t>
      </w:r>
    </w:p>
    <w:bookmarkEnd w:id="27"/>
    <w:bookmarkStart w:id="28" w:name="conclusion"/>
    <w:p>
      <w:pPr>
        <w:pStyle w:val="Heading2"/>
      </w:pPr>
      <w:r>
        <w:t xml:space="preserve">6. Conclusion</w:t>
      </w:r>
    </w:p>
    <w:p>
      <w:pPr>
        <w:pStyle w:val="FirstParagraph"/>
      </w:pPr>
      <w:r>
        <w:t xml:space="preserve">Expanding business operations into</w:t>
      </w:r>
      <w:r>
        <w:t xml:space="preserve"> </w:t>
      </w:r>
      <w:r>
        <w:rPr>
          <w:bCs/>
          <w:b/>
        </w:rPr>
        <w:t xml:space="preserve">Tehran, Iran</w:t>
      </w:r>
      <w:r>
        <w:t xml:space="preserve">, requires more than just capital; it demands sophisticated strategic navigation. This case study confirms that a skilled</w:t>
      </w:r>
      <w:r>
        <w:t xml:space="preserve"> </w:t>
      </w:r>
      <w:r>
        <w:rPr>
          <w:iCs/>
          <w:i/>
        </w:rPr>
        <w:t xml:space="preserve">Business Consultant</w:t>
      </w:r>
      <w:r>
        <w:t xml:space="preserve"> </w:t>
      </w:r>
      <w:r>
        <w:t xml:space="preserve">is an indispensable asset for mitigating risk and unlocking potential in this unique market. By bridging the gap between international standards and local realities in</w:t>
      </w:r>
      <w:r>
        <w:t xml:space="preserve"> </w:t>
      </w:r>
      <w:r>
        <w:rPr>
          <w:bCs/>
          <w:b/>
        </w:rPr>
        <w:t xml:space="preserve">Iran Tehran</w:t>
      </w:r>
      <w:r>
        <w:t xml:space="preserve">, consultants enable sustainable, compliant, and profitable growth. For businesses aiming to succeed in the Middle East’s most populous metropolis, professional consulting is not an expense but a strategic investment with high ROI.</w:t>
      </w:r>
    </w:p>
    <w:p>
      <w:r>
        <w:pict>
          <v:rect style="width:0;height:1.5pt" o:hralign="center" o:hrstd="t" o:hr="t"/>
        </w:pict>
      </w:r>
    </w:p>
    <w:p>
      <w:pPr>
        <w:pStyle w:val="FirstParagraph"/>
      </w:pPr>
      <w:r>
        <w:rPr>
          <w:iCs/>
          <w:i/>
        </w:rPr>
        <w:t xml:space="preserve">Note: This document serves as an educational case study regarding business practices and does not constitute legal or financial advice for specific operations in Iran.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Iran Tehran</dc:title>
  <dc:creator/>
  <dc:language>en</dc:language>
  <cp:keywords/>
  <dcterms:created xsi:type="dcterms:W3CDTF">2026-07-29T15:23:16Z</dcterms:created>
  <dcterms:modified xsi:type="dcterms:W3CDTF">2026-07-29T15:23:16Z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