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7a76456fae8307c8c9c9da5b3b35e3c4574134"/>
    <w:p>
      <w:pPr>
        <w:pStyle w:val="Heading1"/>
      </w:pPr>
      <w:r>
        <w:t xml:space="preserve">A Strategic Transformation Case Study for a Leading Business Consultant in Malaysia Kuala Lumpur</w:t>
      </w:r>
    </w:p>
    <w:bookmarkStart w:id="20" w:name="preface-and-contextual-overview"/>
    <w:p>
      <w:pPr>
        <w:pStyle w:val="Heading2"/>
      </w:pPr>
      <w:r>
        <w:t xml:space="preserve">Preface and Contextual Overview</w:t>
      </w:r>
    </w:p>
    <w:p>
      <w:pPr>
        <w:pStyle w:val="FirstParagraph"/>
      </w:pPr>
      <w:r>
        <w:t xml:space="preserve">In the rapidly evolving economic landscape of Southeast Asia, few cities have experienced as profound a transformation as</w:t>
      </w:r>
      <w:r>
        <w:t xml:space="preserve"> </w:t>
      </w:r>
      <w:r>
        <w:rPr>
          <w:bCs/>
          <w:b/>
        </w:rPr>
        <w:t xml:space="preserve">Malaysia Kuala Lumpur</w:t>
      </w:r>
      <w:r>
        <w:t xml:space="preserve">. As the capital city and the primary commercial hub of Malaysia, it serves as a dynamic nexus where traditional commerce meets cutting-edge digital innovation. Within this vibrant ecosystem, the role of a</w:t>
      </w:r>
      <w:r>
        <w:t xml:space="preserve"> </w:t>
      </w:r>
      <w:r>
        <w:rPr>
          <w:bCs/>
          <w:b/>
        </w:rPr>
        <w:t xml:space="preserve">Business Consultant</w:t>
      </w:r>
      <w:r>
        <w:t xml:space="preserve"> </w:t>
      </w:r>
      <w:r>
        <w:t xml:space="preserve">has shifted from that of an occasional advisor to becoming an indispensable strategic partner for enterprises striving for sustainability and competitive advantage.</w:t>
      </w:r>
    </w:p>
    <w:p>
      <w:pPr>
        <w:pStyle w:val="BodyText"/>
      </w:pPr>
      <w:r>
        <w:t xml:space="preserve">This case study explores the journey of "Apex Strategic Solutions," a premier</w:t>
      </w:r>
      <w:r>
        <w:t xml:space="preserve"> </w:t>
      </w:r>
      <w:r>
        <w:rPr>
          <w:bCs/>
          <w:b/>
        </w:rPr>
        <w:t xml:space="preserve">Business Consultant</w:t>
      </w:r>
      <w:r>
        <w:t xml:space="preserve"> </w:t>
      </w:r>
      <w:r>
        <w:t xml:space="preserve">firm headquartered in the heart of</w:t>
      </w:r>
      <w:r>
        <w:t xml:space="preserve"> </w:t>
      </w:r>
      <w:r>
        <w:rPr>
          <w:bCs/>
          <w:b/>
        </w:rPr>
        <w:t xml:space="preserve">Malaysia Kuala Lumpur</w:t>
      </w:r>
      <w:r>
        <w:t xml:space="preserve">. The following narrative details how this consultancy navigated complex market dynamics, leveraged local cultural nuances, and implemented data-driven strategies to help a major multinational corporation successfully pivot its operations during a period of significant regulatory change and economic uncertainty.</w:t>
      </w:r>
    </w:p>
    <w:bookmarkEnd w:id="20"/>
    <w:bookmarkStart w:id="21" w:name="X728657311df3e62c379e3b52959581657ae03bc"/>
    <w:p>
      <w:pPr>
        <w:pStyle w:val="Heading2"/>
      </w:pPr>
      <w:r>
        <w:t xml:space="preserve">The Challenge: Navigating Regulatory Shifts in Malaysia Kuala Lumpur</w:t>
      </w:r>
    </w:p>
    <w:p>
      <w:pPr>
        <w:pStyle w:val="FirstParagraph"/>
      </w:pPr>
      <w:r>
        <w:t xml:space="preserve">NexGen Manufacturing, a fictional mid-sized multinational entity with extensive operations in</w:t>
      </w:r>
      <w:r>
        <w:t xml:space="preserve"> </w:t>
      </w:r>
      <w:r>
        <w:rPr>
          <w:bCs/>
          <w:b/>
        </w:rPr>
        <w:t xml:space="preserve">Malaysia Kuala Lumpur</w:t>
      </w:r>
      <w:r>
        <w:t xml:space="preserve">, faced a critical juncture in 2021. The company, primarily focused on electronic component assembly, relied heavily on export markets that were increasingly volatile due to global supply chain disruptions and shifting trade policies. Furthermore, the Malaysian government introduced stringent new environmental sustainability standards and digitalization mandates for local manufacturing entities.</w:t>
      </w:r>
    </w:p>
    <w:p>
      <w:pPr>
        <w:pStyle w:val="BodyText"/>
      </w:pPr>
      <w:r>
        <w:t xml:space="preserve">The leadership team at NexGen found themselves paralyzed by the complexity of compliance. They lacked internal expertise in navigating the specific bureaucratic requirements of</w:t>
      </w:r>
      <w:r>
        <w:t xml:space="preserve"> </w:t>
      </w:r>
      <w:r>
        <w:rPr>
          <w:bCs/>
          <w:b/>
        </w:rPr>
        <w:t xml:space="preserve">Malaysia Kuala Lumpur</w:t>
      </w:r>
      <w:r>
        <w:t xml:space="preserve">'s industrial zones while simultaneously trying to modernize their legacy infrastructure. The challenge was not merely technical but cultural and operational. The workforce, deeply rooted in traditional methods, resisted change, fearing job displacement due to automation initiatives required by the new national policies.</w:t>
      </w:r>
    </w:p>
    <w:p>
      <w:pPr>
        <w:pStyle w:val="BodyText"/>
      </w:pPr>
      <w:r>
        <w:t xml:space="preserve">NexGen approached Apex Strategic Solutions seeking a partner who could understand the local nuances of</w:t>
      </w:r>
      <w:r>
        <w:t xml:space="preserve"> </w:t>
      </w:r>
      <w:r>
        <w:rPr>
          <w:bCs/>
          <w:b/>
        </w:rPr>
        <w:t xml:space="preserve">Malaysia Kuala Lumpur</w:t>
      </w:r>
      <w:r>
        <w:t xml:space="preserve"> </w:t>
      </w:r>
      <w:r>
        <w:t xml:space="preserve">while providing global best practices. They needed a</w:t>
      </w:r>
      <w:r>
        <w:t xml:space="preserve"> </w:t>
      </w:r>
      <w:r>
        <w:rPr>
          <w:bCs/>
          <w:b/>
        </w:rPr>
        <w:t xml:space="preserve">Business Consultant</w:t>
      </w:r>
      <w:r>
        <w:t xml:space="preserve"> </w:t>
      </w:r>
      <w:r>
        <w:t xml:space="preserve">who could bridge the gap between international standards and local execution realities.</w:t>
      </w:r>
    </w:p>
    <w:bookmarkEnd w:id="21"/>
    <w:bookmarkStart w:id="22" w:name="X85dff03a5acdd7ec103c608005f4ea68b96fe6c"/>
    <w:p>
      <w:pPr>
        <w:pStyle w:val="Heading2"/>
      </w:pPr>
      <w:r>
        <w:t xml:space="preserve">The Methodology: A Holistic Consultancy Approach</w:t>
      </w:r>
    </w:p>
    <w:p>
      <w:pPr>
        <w:pStyle w:val="FirstParagraph"/>
      </w:pPr>
      <w:r>
        <w:t xml:space="preserve">Alexander Tan, the lead Partner at Apex Strategic Solutions, recognized that applying generic Western consulting frameworks would fail in this context. Instead, he deployed a methodology deeply tailored to the socio-economic fabric of</w:t>
      </w:r>
      <w:r>
        <w:t xml:space="preserve"> </w:t>
      </w:r>
      <w:r>
        <w:rPr>
          <w:bCs/>
          <w:b/>
        </w:rPr>
        <w:t xml:space="preserve">Malaysia Kuala Lumpur</w:t>
      </w:r>
      <w:r>
        <w:t xml:space="preserve">. The engagement was structured around three core pillars: Diagnostic Analysis, Stakeholder Alignment, and Agile Implementation.</w:t>
      </w:r>
    </w:p>
    <w:p>
      <w:pPr>
        <w:pStyle w:val="BodyText"/>
      </w:pPr>
      <w:r>
        <w:rPr>
          <w:bCs/>
          <w:b/>
        </w:rPr>
        <w:t xml:space="preserve">Diagnostics:</w:t>
      </w:r>
      <w:r>
        <w:t xml:space="preserve"> </w:t>
      </w:r>
      <w:r>
        <w:t xml:space="preserve">The</w:t>
      </w:r>
      <w:r>
        <w:t xml:space="preserve"> </w:t>
      </w:r>
      <w:r>
        <w:rPr>
          <w:bCs/>
          <w:b/>
        </w:rPr>
        <w:t xml:space="preserve">Business ConsultantMalaysia Kuala Lumpur</w:t>
      </w:r>
      <w:r>
        <w:t xml:space="preserve">. They analyzed energy consumption patterns, waste management protocols, and workforce demographics. This phase revealed that while the machinery was outdated, the primary bottleneck was actually a lack of cross-departmental communication and employee engagement regarding sustainability goals.</w:t>
      </w:r>
    </w:p>
    <w:p>
      <w:pPr>
        <w:pStyle w:val="BodyText"/>
      </w:pPr>
      <w:r>
        <w:rPr>
          <w:bCs/>
          <w:b/>
        </w:rPr>
        <w:t xml:space="preserve">Cultural Alignment:</w:t>
      </w:r>
      <w:r>
        <w:t xml:space="preserve"> </w:t>
      </w:r>
      <w:r>
        <w:t xml:space="preserve">Recognizing the diverse multicultural makeup of</w:t>
      </w:r>
      <w:r>
        <w:t xml:space="preserve"> </w:t>
      </w:r>
      <w:r>
        <w:rPr>
          <w:bCs/>
          <w:b/>
        </w:rPr>
        <w:t xml:space="preserve">Malaysia Kuala Lumpur</w:t>
      </w:r>
      <w:r>
        <w:t xml:space="preserve">, Apex developed a change management strategy that respected local hierarchical structures while encouraging bottom-up innovation. The consultants organized town hall meetings in multiple languages, ensuring inclusivity. They leveraged the concept of "Muhibbah" (spirit of harmony), a value deeply cherished in Malaysian society, to frame the digital transformation not as a replacement of jobs, but as an enhancement of worker safety and efficiency.</w:t>
      </w:r>
    </w:p>
    <w:p>
      <w:pPr>
        <w:pStyle w:val="BodyText"/>
      </w:pPr>
      <w:r>
        <w:rPr>
          <w:bCs/>
          <w:b/>
        </w:rPr>
        <w:t xml:space="preserve">Strategic Roadmap:</w:t>
      </w:r>
      <w:r>
        <w:t xml:space="preserve">The</w:t>
      </w:r>
      <w:r>
        <w:t xml:space="preserve"> </w:t>
      </w:r>
      <w:r>
        <w:rPr>
          <w:bCs/>
          <w:b/>
        </w:rPr>
        <w:t xml:space="preserve">Business ConsultantMalaysia Kuala Lumpur</w:t>
      </w:r>
      <w:r>
        <w:t xml:space="preserve">.</w:t>
      </w:r>
    </w:p>
    <w:bookmarkEnd w:id="22"/>
    <w:bookmarkStart w:id="23" w:name="implementation-and-execution"/>
    <w:p>
      <w:pPr>
        <w:pStyle w:val="Heading2"/>
      </w:pPr>
      <w:r>
        <w:t xml:space="preserve">Implementation and Execution</w:t>
      </w:r>
    </w:p>
    <w:p>
      <w:pPr>
        <w:pStyle w:val="FirstParagraph"/>
      </w:pPr>
      <w:r>
        <w:t xml:space="preserve">The execution phase required meticulous coordination between Apex’s consultants, NexGen’s local management team, and external technology vendors. The presence of a</w:t>
      </w:r>
      <w:r>
        <w:t xml:space="preserve"> </w:t>
      </w:r>
      <w:r>
        <w:rPr>
          <w:bCs/>
          <w:b/>
        </w:rPr>
        <w:t xml:space="preserve">Business Consultant</w:t>
      </w:r>
      <w:r>
        <w:t xml:space="preserve">Malaysia Kuala Lumpur and the floor managers.</w:t>
      </w:r>
    </w:p>
    <w:p>
      <w:pPr>
        <w:pStyle w:val="BodyText"/>
      </w:pPr>
      <w:r>
        <w:t xml:space="preserve">A significant hurdle arose when local suppliers failed to meet new compliance timelines. Apex intervened by leveraging their extensive network within the</w:t>
      </w:r>
      <w:r>
        <w:t xml:space="preserve"> </w:t>
      </w:r>
      <w:r>
        <w:rPr>
          <w:bCs/>
          <w:b/>
        </w:rPr>
        <w:t xml:space="preserve">Malaysia Kuala Lumpur</w:t>
      </w:r>
      <w:r>
        <w:t xml:space="preserve"> </w:t>
      </w:r>
      <w:r>
        <w:t xml:space="preserve">business community. They facilitated workshops connecting NexGen with certified green technology providers, effectively creating a localized supply chain ecosystem that met regulatory standards while reducing procurement risks.</w:t>
      </w:r>
    </w:p>
    <w:p>
      <w:pPr>
        <w:pStyle w:val="BodyText"/>
      </w:pPr>
      <w:r>
        <w:t xml:space="preserve">The consultants also introduced KPIs (Key Performance Indicators) that were culturally relevant. Instead of purely financial metrics, the new scorecards included sustainability scores and employee satisfaction indices. This holistic view resonated with the Malaysian workforce, fostering a sense of ownership over the transformation process.</w:t>
      </w:r>
    </w:p>
    <w:bookmarkEnd w:id="23"/>
    <w:bookmarkStart w:id="24" w:name="results-and-impact"/>
    <w:p>
      <w:pPr>
        <w:pStyle w:val="Heading2"/>
      </w:pPr>
      <w:r>
        <w:t xml:space="preserve">Results and Impact</w:t>
      </w:r>
    </w:p>
    <w:p>
      <w:pPr>
        <w:pStyle w:val="FirstParagraph"/>
      </w:pPr>
      <w:r>
        <w:t xml:space="preserve">Sixteen months after initiating the engagement, NexGen reported transformative results. The company reduced its operational energy costs by 35%, significantly exceeding initial projections. More importantly, they achieved full compliance with the new Malaysian regulatory standards ahead of schedule, avoiding potential fines and reputational damage.</w:t>
      </w:r>
    </w:p>
    <w:p>
      <w:pPr>
        <w:pStyle w:val="BodyText"/>
      </w:pPr>
      <w:r>
        <w:t xml:space="preserve">The human element yielded even greater success. Employee turnover dropped by 20% as staff felt more secure and valued in their evolving roles. NexGen’s brand reputation within</w:t>
      </w:r>
      <w:r>
        <w:t xml:space="preserve"> </w:t>
      </w:r>
      <w:r>
        <w:rPr>
          <w:bCs/>
          <w:b/>
        </w:rPr>
        <w:t xml:space="preserve">Malaysia Kuala Lumpur</w:t>
      </w:r>
      <w:r>
        <w:t xml:space="preserve"> </w:t>
      </w:r>
      <w:r>
        <w:t xml:space="preserve">improved markedly, positioning them as a leader in sustainable manufacturing. This enhanced reputation attracted new international clients who prioritized ESG (Environmental, Social, and Governance) compliance.</w:t>
      </w:r>
    </w:p>
    <w:p>
      <w:pPr>
        <w:pStyle w:val="BodyText"/>
      </w:pPr>
      <w:r>
        <w:t xml:space="preserve">The success of this initiative was directly attributable to the nuanced approach of the</w:t>
      </w:r>
      <w:r>
        <w:t xml:space="preserve"> </w:t>
      </w:r>
      <w:r>
        <w:rPr>
          <w:bCs/>
          <w:b/>
        </w:rPr>
        <w:t xml:space="preserve">Business Consultant</w:t>
      </w:r>
      <w:r>
        <w:t xml:space="preserve">. By understanding that business in</w:t>
      </w:r>
      <w:r>
        <w:t xml:space="preserve"> </w:t>
      </w:r>
      <w:r>
        <w:rPr>
          <w:bCs/>
          <w:b/>
        </w:rPr>
        <w:t xml:space="preserve">Malaysia Kuala Lumpur</w:t>
      </w:r>
      <w:r>
        <w:t xml:space="preserve"> </w:t>
      </w:r>
      <w:r>
        <w:t xml:space="preserve">is deeply relational and community-oriented, Apex avoided the pitfalls of a purely transactional consulting model.</w:t>
      </w:r>
    </w:p>
    <w:bookmarkEnd w:id="24"/>
    <w:bookmarkStart w:id="25" w:name="Xae37cf107941ffe57b5b1e2d03a7e40673f4601"/>
    <w:p>
      <w:pPr>
        <w:pStyle w:val="Heading2"/>
      </w:pPr>
      <w:r>
        <w:t xml:space="preserve">Conclusion: The Value of Localized Expertise</w:t>
      </w:r>
    </w:p>
    <w:p>
      <w:pPr>
        <w:pStyle w:val="FirstParagraph"/>
      </w:pPr>
      <w:r>
        <w:t xml:space="preserve">This case study underscores the critical importance of engaging a</w:t>
      </w:r>
      <w:r>
        <w:t xml:space="preserve"> </w:t>
      </w:r>
      <w:r>
        <w:rPr>
          <w:bCs/>
          <w:b/>
        </w:rPr>
        <w:t xml:space="preserve">Business Consultant</w:t>
      </w:r>
      <w:r>
        <w:t xml:space="preserve">Malaysia Kuala Lumpur. Global frameworks provide structure, but local expertise provides traction. In a city characterized by its rapid modernization and rich cultural diversity, the ability to harmonize global standards with local practices is a superpower.</w:t>
      </w:r>
    </w:p>
    <w:p>
      <w:pPr>
        <w:pStyle w:val="BodyText"/>
      </w:pPr>
      <w:r>
        <w:t xml:space="preserve">For organizations looking to thrive in</w:t>
      </w:r>
      <w:r>
        <w:t xml:space="preserve"> </w:t>
      </w:r>
      <w:r>
        <w:rPr>
          <w:bCs/>
          <w:b/>
        </w:rPr>
        <w:t xml:space="preserve">Malaysia Kuala Lumpur</w:t>
      </w:r>
      <w:r>
        <w:t xml:space="preserve">, the lesson is clear: transformation requires more than just capital and technology; it requires strategic insight that respects local dynamics. As demonstrated by Apex Strategic Solutions, a well-executed consultancy engagement can turn regulatory pressure into competitive advantage.</w:t>
      </w:r>
    </w:p>
    <w:p>
      <w:pPr>
        <w:pStyle w:val="BodyText"/>
      </w:pPr>
      <w:r>
        <w:t xml:space="preserve">In conclusion, the synergy between global best practices and local understanding defines successful business evolution in</w:t>
      </w:r>
      <w:r>
        <w:t xml:space="preserve"> </w:t>
      </w:r>
      <w:r>
        <w:rPr>
          <w:bCs/>
          <w:b/>
        </w:rPr>
        <w:t xml:space="preserve">Malaysia Kuala Lumpur</w:t>
      </w:r>
      <w:r>
        <w:t xml:space="preserve">. Companies that embrace this partnership with skilled</w:t>
      </w:r>
      <w:r>
        <w:t xml:space="preserve"> </w:t>
      </w:r>
      <w:r>
        <w:rPr>
          <w:bCs/>
          <w:b/>
        </w:rPr>
        <w:t xml:space="preserve">Business ConsultantMalaysia Kuala Lumpur</w:t>
      </w:r>
      <w:r>
        <w:t xml:space="preserve"> </w:t>
      </w:r>
      <w:r>
        <w:t xml:space="preserve">continues to evolve, the demand for such specialized consultancy will only intensify, making it an essential component of any robust corporate strategy.</w:t>
      </w:r>
    </w:p>
    <w:p>
      <w:pPr>
        <w:pStyle w:val="BodyText"/>
      </w:pPr>
      <w:r>
        <w:t xml:space="preserve">The journey of NexGen serves as a blueprint for other enterprises in the region. It illustrates that when a</w:t>
      </w:r>
      <w:r>
        <w:t xml:space="preserve"> </w:t>
      </w:r>
      <w:r>
        <w:rPr>
          <w:bCs/>
          <w:b/>
        </w:rPr>
        <w:t xml:space="preserve">Business Consultant</w:t>
      </w:r>
      <w:r>
        <w:t xml:space="preserve">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2026-07-29T14:26:45Z</dcterms:created>
  <dcterms:modified xsi:type="dcterms:W3CDTF">2026-07-29T14:26:45Z</dcterms:modified>
</cp:coreProperties>
</file>

<file path=docProps/custom.xml><?xml version="1.0" encoding="utf-8"?>
<Properties xmlns="http://schemas.openxmlformats.org/officeDocument/2006/custom-properties" xmlns:vt="http://schemas.openxmlformats.org/officeDocument/2006/docPropsVTypes"/>
</file>