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UAE</w:t>
      </w:r>
    </w:p>
    <w:bookmarkStart w:id="30" w:name="X368bbbc1d6428f7d87781d11f0da642152da0ec"/>
    <w:p>
      <w:pPr>
        <w:pStyle w:val="Heading1"/>
      </w:pPr>
      <w:r>
        <w:t xml:space="preserve">Navigating Growth and Compliance: A Case Study of a Business Consultant in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bookmarkStart w:id="20" w:name="executive-summary"/>
    <w:p>
      <w:pPr>
        <w:pStyle w:val="Heading2"/>
      </w:pPr>
      <w:r>
        <w:t xml:space="preserve">Executive Summary</w:t>
      </w:r>
    </w:p>
    <w:p>
      <w:pPr>
        <w:pStyle w:val="FirstParagraph"/>
      </w:pPr>
      <w:r>
        <w:t xml:space="preserve">In the dynamic economic landscape of the Middle East, few locations embody ambition and transformation as vividly as the United Arab Emirates Abu Dhabi. As a global hub for finance, tourism, and energy, this emirate offers unparalleled opportunities but also presents complex regulatory hurdles. This case study explores how a specialized</w:t>
      </w:r>
      <w:r>
        <w:t xml:space="preserve"> </w:t>
      </w:r>
      <w:r>
        <w:rPr>
          <w:bCs/>
          <w:b/>
        </w:rPr>
        <w:t xml:space="preserve">Business Consultant</w:t>
      </w:r>
      <w:r>
        <w:t xml:space="preserve"> </w:t>
      </w:r>
      <w:r>
        <w:t xml:space="preserve">assisted a mid-sized European logistics firm in establishing a successful subsidiary within the free zones of</w:t>
      </w:r>
      <w:r>
        <w:t xml:space="preserve"> </w:t>
      </w:r>
      <w:r>
        <w:rPr>
          <w:bCs/>
          <w:b/>
        </w:rPr>
        <w:t xml:space="preserve">United Arab Emirates Abu Dhabi</w:t>
      </w:r>
      <w:r>
        <w:t xml:space="preserve">. The objective was to navigate local compliance, optimize operational workflows, and align with the national vision for economic diversification.</w:t>
      </w:r>
    </w:p>
    <w:bookmarkEnd w:id="20"/>
    <w:bookmarkStart w:id="21" w:name="the-client-challenge"/>
    <w:p>
      <w:pPr>
        <w:pStyle w:val="Heading2"/>
      </w:pPr>
      <w:r>
        <w:t xml:space="preserve">The Client Challenge</w:t>
      </w:r>
    </w:p>
    <w:p>
      <w:pPr>
        <w:pStyle w:val="FirstParagraph"/>
      </w:pPr>
      <w:r>
        <w:t xml:space="preserve">The client, "TransGlobal Logistics," a European firm specializing in cold-chain supply solutions, sought to expand its operations into the Middle East. Their primary target market was</w:t>
      </w:r>
      <w:r>
        <w:t xml:space="preserve"> </w:t>
      </w:r>
      <w:r>
        <w:rPr>
          <w:bCs/>
          <w:b/>
        </w:rPr>
        <w:t xml:space="preserve">United Arab Emirates Abu Dhabi</w:t>
      </w:r>
      <w:r>
        <w:t xml:space="preserve">, recognized for its strategic port facilities and government-led initiatives supporting industrial growth. However, the expansion faced significant initial hurdles:</w:t>
      </w:r>
    </w:p>
    <w:p>
      <w:pPr>
        <w:numPr>
          <w:ilvl w:val="0"/>
          <w:numId w:val="1001"/>
        </w:numPr>
        <w:pStyle w:val="Compact"/>
      </w:pPr>
      <w:r>
        <w:rPr>
          <w:bCs/>
          <w:b/>
        </w:rPr>
        <w:t xml:space="preserve">Regulatory Complexity:</w:t>
      </w:r>
      <w:r>
        <w:t xml:space="preserve"> </w:t>
      </w:r>
      <w:r>
        <w:t xml:space="preserve">Understanding the nuanced licensing requirements between different Free Zones (such as ADGM or KIZAD) versus onshore setups in Abu Dhabi.</w:t>
      </w:r>
    </w:p>
    <w:p>
      <w:pPr>
        <w:numPr>
          <w:ilvl w:val="0"/>
          <w:numId w:val="1001"/>
        </w:numPr>
        <w:pStyle w:val="Compact"/>
      </w:pPr>
      <w:r>
        <w:rPr>
          <w:bCs/>
          <w:b/>
        </w:rPr>
        <w:t xml:space="preserve">Cultural Adaptation:</w:t>
      </w:r>
    </w:p>
    <w:p>
      <w:pPr>
        <w:numPr>
          <w:ilvl w:val="0"/>
          <w:numId w:val="1001"/>
        </w:numPr>
        <w:pStyle w:val="Compact"/>
      </w:pPr>
      <w:r>
        <w:rPr>
          <w:bCs/>
          <w:b/>
        </w:rPr>
        <w:t xml:space="preserve">Tax Optimization:</w:t>
      </w:r>
      <w:r>
        <w:t xml:space="preserve"> </w:t>
      </w:r>
      <w:r>
        <w:t xml:space="preserve">Navigating the recent introduction of Corporate Tax in the UAE while maximizing incentives available in specific free zones.</w:t>
      </w:r>
    </w:p>
    <w:p>
      <w:pPr>
        <w:numPr>
          <w:ilvl w:val="0"/>
          <w:numId w:val="1001"/>
        </w:numPr>
        <w:pStyle w:val="Compact"/>
      </w:pPr>
      <w:r>
        <w:rPr>
          <w:bCs/>
          <w:b/>
        </w:rPr>
        <w:t xml:space="preserve">Digital Transformation:</w:t>
      </w:r>
      <w:r>
        <w:t xml:space="preserve"> </w:t>
      </w:r>
      <w:r>
        <w:t xml:space="preserve">Modernizing legacy supply chain software to integrate with local government digital portals like "TAMM" and "Dubai Trade," even though based in Abu Dhabi.</w:t>
      </w:r>
    </w:p>
    <w:bookmarkEnd w:id="21"/>
    <w:bookmarkStart w:id="25" w:name="the-role-of-the-business-consultant"/>
    <w:p>
      <w:pPr>
        <w:pStyle w:val="Heading2"/>
      </w:pPr>
      <w:r>
        <w:t xml:space="preserve">The Role of the Business Consultant</w:t>
      </w:r>
    </w:p>
    <w:p>
      <w:pPr>
        <w:pStyle w:val="FirstParagraph"/>
      </w:pPr>
      <w:r>
        <w:t xml:space="preserve">To address these multifaceted challenges, TransGlobal engaged a senior-level</w:t>
      </w:r>
      <w:r>
        <w:t xml:space="preserve"> </w:t>
      </w:r>
      <w:r>
        <w:rPr>
          <w:bCs/>
          <w:b/>
        </w:rPr>
        <w:t xml:space="preserve">Business Consultant</w:t>
      </w:r>
      <w:r>
        <w:t xml:space="preserve"> </w:t>
      </w:r>
      <w:r>
        <w:t xml:space="preserve">with deep expertise in Gulf region market entry strategies. The consultant’s role was not merely administrative but strategic, acting as a bridge between European corporate governance and the agile, relationship-driven business culture of the Emirates.</w:t>
      </w:r>
    </w:p>
    <w:bookmarkStart w:id="22" w:name="X57f3122e22fe8a3e6a7ecdf771163b8c95f3d51"/>
    <w:p>
      <w:pPr>
        <w:pStyle w:val="Heading3"/>
      </w:pPr>
      <w:r>
        <w:t xml:space="preserve">Phase 1: Strategic Market Entry and Structuring</w:t>
      </w:r>
    </w:p>
    <w:p>
      <w:pPr>
        <w:pStyle w:val="FirstParagraph"/>
      </w:pPr>
      <w:r>
        <w:t xml:space="preserve">The first step involved a comprehensive feasibility study. The consultant analyzed the specific needs of cold-chain logistics in</w:t>
      </w:r>
      <w:r>
        <w:t xml:space="preserve"> </w:t>
      </w:r>
      <w:r>
        <w:rPr>
          <w:bCs/>
          <w:b/>
        </w:rPr>
        <w:t xml:space="preserve">United Arab Emirates Abu Dhabi</w:t>
      </w:r>
      <w:r>
        <w:t xml:space="preserve">. While many competitors clustered around Dubai, the consultant identified that Abu Dhabi’s industrial city (Khalifa Industrial Zone - KIZAD) offered superior land availability and direct access to ports for heavy logistics.</w:t>
      </w:r>
    </w:p>
    <w:p>
      <w:pPr>
        <w:pStyle w:val="BodyText"/>
      </w:pPr>
      <w:r>
        <w:t xml:space="preserve">The consultant recommended setting up a Free Zone Entity in KIZAD. This decision was driven by two factors: 100% foreign ownership, which is fully permitted in UAE free zones, and specific customs exemptions that would significantly lower the client’s operational costs. The</w:t>
      </w:r>
      <w:r>
        <w:t xml:space="preserve"> </w:t>
      </w:r>
      <w:r>
        <w:rPr>
          <w:bCs/>
          <w:b/>
        </w:rPr>
        <w:t xml:space="preserve">Business Consultant</w:t>
      </w:r>
      <w:r>
        <w:t xml:space="preserve"> </w:t>
      </w:r>
      <w:r>
        <w:t xml:space="preserve">managed all interactions with the Abu Dhabi Department of Economic Development (ADDED) and the relevant Free Zone authorities.</w:t>
      </w:r>
    </w:p>
    <w:p>
      <w:pPr>
        <w:pStyle w:val="BodyText"/>
      </w:pPr>
      <w:r>
        <w:rPr>
          <w:bCs/>
          <w:b/>
        </w:rPr>
        <w:t xml:space="preserve">Key Insight:</w:t>
      </w:r>
      <w:r>
        <w:br/>
      </w:r>
      <w:r>
        <w:t xml:space="preserve">The consultant clarified that while "United Arab Emirates Abu Dhabi" is a single emirate, business regulations can vary depending on whether one operates in the city core or specific economic zones. Selecting KIZAD was pivotal for a logistics firm.</w:t>
      </w:r>
    </w:p>
    <w:bookmarkEnd w:id="22"/>
    <w:bookmarkStart w:id="23" w:name="X63ec5e906d0671a1d0a84842e1ece1c948616b3"/>
    <w:p>
      <w:pPr>
        <w:pStyle w:val="Heading3"/>
      </w:pPr>
      <w:r>
        <w:t xml:space="preserve">Phase 2: Regulatory Compliance and Corporate Tax Planning</w:t>
      </w:r>
    </w:p>
    <w:p>
      <w:pPr>
        <w:pStyle w:val="FirstParagraph"/>
      </w:pPr>
      <w:r>
        <w:t xml:space="preserve">With the introduction of the UAE’s Federal Corporate Tax (9% for profits over AED 375,000), tax planning became critical. The</w:t>
      </w:r>
      <w:r>
        <w:t xml:space="preserve"> </w:t>
      </w:r>
      <w:r>
        <w:rPr>
          <w:bCs/>
          <w:b/>
        </w:rPr>
        <w:t xml:space="preserve">Business Consultant</w:t>
      </w:r>
      <w:r>
        <w:t xml:space="preserve"> </w:t>
      </w:r>
      <w:r>
        <w:t xml:space="preserve">worked alongside legal experts to ensure TransGlobal complied with all local transfer pricing regulations and economic substance requirements.</w:t>
      </w:r>
    </w:p>
    <w:p>
      <w:pPr>
        <w:pStyle w:val="BodyText"/>
      </w:pPr>
      <w:r>
        <w:t xml:space="preserve">The consultant implemented a robust accounting framework that separated taxable activities from exempt investment income, ensuring the client remained compliant without overpaying taxes. This proactive approach provided peace of mind and financial clarity during the volatile post-pandemic recovery period.</w:t>
      </w:r>
    </w:p>
    <w:bookmarkEnd w:id="23"/>
    <w:bookmarkStart w:id="24" w:name="Xcc101ff8a73246fe1544515b014a1895369d41d"/>
    <w:p>
      <w:pPr>
        <w:pStyle w:val="Heading3"/>
      </w:pPr>
      <w:r>
        <w:t xml:space="preserve">Phase 3: Operational Excellence and Local Talent Acquisition</w:t>
      </w:r>
    </w:p>
    <w:p>
      <w:pPr>
        <w:pStyle w:val="FirstParagraph"/>
      </w:pPr>
      <w:r>
        <w:t xml:space="preserve">A common pitfall for foreign entrants is underestimating the importance of local partnerships and talent. The consultant advised on a hybrid staffing model:</w:t>
      </w:r>
    </w:p>
    <w:p>
      <w:pPr>
        <w:numPr>
          <w:ilvl w:val="0"/>
          <w:numId w:val="1002"/>
        </w:numPr>
        <w:pStyle w:val="Compact"/>
      </w:pPr>
      <w:r>
        <w:rPr>
          <w:bCs/>
          <w:b/>
        </w:rPr>
        <w:t xml:space="preserve">Expat Leadership:</w:t>
      </w:r>
      <w:r>
        <w:t xml:space="preserve"> </w:t>
      </w:r>
      <w:r>
        <w:t xml:space="preserve">Retaining key European managers for strategic oversight.</w:t>
      </w:r>
    </w:p>
    <w:p>
      <w:pPr>
        <w:numPr>
          <w:ilvl w:val="0"/>
          <w:numId w:val="1002"/>
        </w:numPr>
        <w:pStyle w:val="Compact"/>
      </w:pPr>
      <w:r>
        <w:rPr>
          <w:bCs/>
          <w:b/>
        </w:rPr>
        <w:t xml:space="preserve">Nationalization (Emiratization):</w:t>
      </w:r>
      <w:r>
        <w:t xml:space="preserve"> </w:t>
      </w:r>
      <w:r>
        <w:t xml:space="preserve">Actively recruiting UAE nationals for government liaison and HR roles to comply with Emiratization quotas, a critical regulatory requirement in the private sector.</w:t>
      </w:r>
    </w:p>
    <w:p>
      <w:pPr>
        <w:numPr>
          <w:ilvl w:val="0"/>
          <w:numId w:val="1002"/>
        </w:numPr>
        <w:pStyle w:val="Compact"/>
      </w:pPr>
      <w:r>
        <w:rPr>
          <w:bCs/>
          <w:b/>
        </w:rPr>
        <w:t xml:space="preserve">Cultural Training:</w:t>
      </w:r>
      <w:r>
        <w:t xml:space="preserve"> </w:t>
      </w:r>
      <w:r>
        <w:t xml:space="preserve">Conducting workshops for incoming European staff on Islamic business etiquette, including prayer times during work hours and the importance of face-to-face relationship building before signing contracts.</w:t>
      </w:r>
    </w:p>
    <w:bookmarkEnd w:id="24"/>
    <w:bookmarkEnd w:id="25"/>
    <w:bookmarkStart w:id="26" w:name="the-solution-implementation"/>
    <w:p>
      <w:pPr>
        <w:pStyle w:val="Heading2"/>
      </w:pPr>
      <w:r>
        <w:t xml:space="preserve">The Solution Implementation</w:t>
      </w:r>
    </w:p>
    <w:p>
      <w:pPr>
        <w:pStyle w:val="FirstParagraph"/>
      </w:pPr>
      <w:r>
        <w:t xml:space="preserve">The implementation phase was rigorous. The</w:t>
      </w:r>
      <w:r>
        <w:t xml:space="preserve"> </w:t>
      </w:r>
      <w:r>
        <w:rPr>
          <w:bCs/>
          <w:b/>
        </w:rPr>
        <w:t xml:space="preserve">Business Consultant</w:t>
      </w:r>
      <w:r>
        <w:t xml:space="preserve"> </w:t>
      </w:r>
      <w:r>
        <w:t xml:space="preserve">coordinated with legal firms to draft employment contracts compliant with UAE Labor Law, which offers different protections than European jurisdictions. They also facilitated the procurement of necessary cold-chain technology permits from Abu Dhabi Municipality.</w:t>
      </w:r>
    </w:p>
    <w:p>
      <w:pPr>
        <w:pStyle w:val="BodyText"/>
      </w:pPr>
      <w:r>
        <w:t xml:space="preserve">A major success factor was the integration of digital tools. The consultant spearheaded the migration of TransGlobal’s inventory system to a cloud-based platform that integrated seamlessly with Abu Dhabi’s government services, allowing for real-time customs clearance and reduced administrative bottlenecks.</w:t>
      </w:r>
    </w:p>
    <w:bookmarkEnd w:id="26"/>
    <w:bookmarkStart w:id="27" w:name="results-and-impact"/>
    <w:p>
      <w:pPr>
        <w:pStyle w:val="Heading2"/>
      </w:pPr>
      <w:r>
        <w:t xml:space="preserve">Results and Impact</w:t>
      </w:r>
    </w:p>
    <w:p>
      <w:pPr>
        <w:pStyle w:val="FirstParagraph"/>
      </w:pPr>
      <w:r>
        <w:t xml:space="preserve">Six months after launch, the results demonstrated the value of expert consultancy in this region:</w:t>
      </w:r>
    </w:p>
    <w:p>
      <w:pPr>
        <w:numPr>
          <w:ilvl w:val="0"/>
          <w:numId w:val="1003"/>
        </w:numPr>
        <w:pStyle w:val="Compact"/>
      </w:pPr>
      <w:r>
        <w:rPr>
          <w:bCs/>
          <w:b/>
        </w:rPr>
        <w:t xml:space="preserve">Rapid Market Entry:</w:t>
      </w:r>
      <w:r>
        <w:t xml:space="preserve">The company secured its license and began operations in 45 days, significantly faster than the industry average of 60-90 days.</w:t>
      </w:r>
    </w:p>
    <w:p>
      <w:pPr>
        <w:numPr>
          <w:ilvl w:val="0"/>
          <w:numId w:val="1003"/>
        </w:numPr>
        <w:pStyle w:val="Compact"/>
      </w:pPr>
      <w:r>
        <w:rPr>
          <w:bCs/>
          <w:b/>
        </w:rPr>
        <w:t xml:space="preserve">Cost Efficiency:</w:t>
      </w:r>
      <w:r>
        <w:t xml:space="preserve">Savings on customs duties and office space due to the strategic location choice in KIZAD reduced initial CAPEX by 20%.</w:t>
      </w:r>
    </w:p>
    <w:p>
      <w:pPr>
        <w:numPr>
          <w:ilvl w:val="0"/>
          <w:numId w:val="1003"/>
        </w:numPr>
        <w:pStyle w:val="Compact"/>
      </w:pPr>
      <w:r>
        <w:rPr>
          <w:bCs/>
          <w:b/>
        </w:rPr>
        <w:t xml:space="preserve">Tax Compliance:</w:t>
      </w:r>
      <w:r>
        <w:t xml:space="preserve">The client passed its first annual audit with zero penalties, thanks to the rigorous corporate tax structuring advised by the consultant.</w:t>
      </w:r>
    </w:p>
    <w:p>
      <w:pPr>
        <w:numPr>
          <w:ilvl w:val="0"/>
          <w:numId w:val="1003"/>
        </w:numPr>
        <w:pStyle w:val="Compact"/>
      </w:pPr>
      <w:r>
        <w:rPr>
          <w:bCs/>
          <w:b/>
        </w:rPr>
        <w:t xml:space="preserve">Brand Reputation:</w:t>
      </w:r>
      <w:r>
        <w:t xml:space="preserve">By adhering to Emiratization goals and respecting local cultural norms, TransGlobal built strong relationships with government stakeholders in</w:t>
      </w:r>
      <w:r>
        <w:t xml:space="preserve"> </w:t>
      </w:r>
      <w:r>
        <w:rPr>
          <w:bCs/>
          <w:b/>
        </w:rPr>
        <w:t xml:space="preserve">United Arab Emirates Abu Dhabi</w:t>
      </w:r>
      <w:r>
        <w:t xml:space="preserve">, opening doors for future public sector contracts.</w:t>
      </w:r>
    </w:p>
    <w:bookmarkEnd w:id="27"/>
    <w:bookmarkStart w:id="28" w:name="X0b712109706811c53da3c82676a366d8c706323"/>
    <w:p>
      <w:pPr>
        <w:pStyle w:val="Heading2"/>
      </w:pPr>
      <w:r>
        <w:t xml:space="preserve">The Role of Culture in Business Consulting</w:t>
      </w:r>
    </w:p>
    <w:p>
      <w:pPr>
        <w:pStyle w:val="FirstParagraph"/>
      </w:pPr>
      <w:r>
        <w:t xml:space="preserve">This case study highlights that a successful</w:t>
      </w:r>
      <w:r>
        <w:t xml:space="preserve"> </w:t>
      </w:r>
      <w:r>
        <w:rPr>
          <w:bCs/>
          <w:b/>
        </w:rPr>
        <w:t xml:space="preserve">Business Consultant</w:t>
      </w:r>
      <w:r>
        <w:t xml:space="preserve"> </w:t>
      </w:r>
      <w:r>
        <w:t xml:space="preserve">must be more than an accountant or a legal expert; they must be cultural interpreters. In the context of the UAE, trust is currency. The consultant’s ability to navigate the "Wasta" (networking/influence) system not for corruption, but for efficient problem-solving and government relation management, was invaluable.</w:t>
      </w:r>
    </w:p>
    <w:p>
      <w:pPr>
        <w:pStyle w:val="BodyText"/>
      </w:pPr>
      <w:r>
        <w:t xml:space="preserve">The high regard for hierarchy and respect in Emirati business culture meant that the consultant ensured all high-level meetings were conducted with appropriate protocol. This attention to detail fostered goodwill among local authorities who are crucial partners in the growth of any foreign entity in</w:t>
      </w:r>
      <w:r>
        <w:t xml:space="preserve"> </w:t>
      </w:r>
      <w:r>
        <w:rPr>
          <w:bCs/>
          <w:b/>
        </w:rPr>
        <w:t xml:space="preserve">United Arab Emirates Abu Dhabi</w:t>
      </w:r>
      <w:r>
        <w:t xml:space="preserve">.</w:t>
      </w:r>
    </w:p>
    <w:bookmarkEnd w:id="28"/>
    <w:bookmarkStart w:id="29" w:name="conclusion-and-lessons-learned"/>
    <w:p>
      <w:pPr>
        <w:pStyle w:val="Heading2"/>
      </w:pPr>
      <w:r>
        <w:t xml:space="preserve">Conclusion and Lessons Learned</w:t>
      </w:r>
    </w:p>
    <w:p>
      <w:pPr>
        <w:pStyle w:val="FirstParagraph"/>
      </w:pPr>
      <w:r>
        <w:t xml:space="preserve">The expansion of TransGlobal Logistics into the Middle East serves as a testament to the power of strategic advisory. The complexities of doing business in the United Arab Emirates, specifically within the ambitious ecosystem of Abu Dhabi, require a nuanced approach that balances international best practices with local regulatory realities.</w:t>
      </w:r>
    </w:p>
    <w:p>
      <w:pPr>
        <w:pStyle w:val="BodyText"/>
      </w:pPr>
      <w:r>
        <w:t xml:space="preserve">For other multinational enterprises considering similar moves, this case study underscores three critical lessons:</w:t>
      </w:r>
    </w:p>
    <w:p>
      <w:pPr>
        <w:numPr>
          <w:ilvl w:val="0"/>
          <w:numId w:val="1004"/>
        </w:numPr>
        <w:pStyle w:val="Compact"/>
      </w:pPr>
      <w:r>
        <w:rPr>
          <w:bCs/>
          <w:b/>
        </w:rPr>
        <w:t xml:space="preserve">Select Your Jurisdiction Wisely:</w:t>
      </w:r>
      <w:r>
        <w:t xml:space="preserve">The distinction between onshore and free zone in Abu Dhabi is not just administrative; it impacts your entire operational model.</w:t>
      </w:r>
    </w:p>
    <w:p>
      <w:pPr>
        <w:numPr>
          <w:ilvl w:val="0"/>
          <w:numId w:val="1004"/>
        </w:numPr>
        <w:pStyle w:val="Compact"/>
      </w:pPr>
      <w:r>
        <w:rPr>
          <w:bCs/>
          <w:b/>
        </w:rPr>
        <w:t xml:space="preserve">Hire Specialized Talent:</w:t>
      </w:r>
      <w:r>
        <w:t xml:space="preserve">A generic consultant will fail. You need a specialist who understands the specific industrial goals of the UAE, such as sustainability and digital transformation.</w:t>
      </w:r>
    </w:p>
    <w:p>
      <w:pPr>
        <w:numPr>
          <w:ilvl w:val="0"/>
          <w:numId w:val="1004"/>
        </w:numPr>
        <w:pStyle w:val="Compact"/>
      </w:pPr>
      <w:r>
        <w:rPr>
          <w:bCs/>
          <w:b/>
        </w:rPr>
        <w:t xml:space="preserve">Respect Local Dynamics:</w:t>
      </w:r>
      <w:r>
        <w:t xml:space="preserve">Cultural intelligence is as important as financial acumen in securing long-term success in this region.</w:t>
      </w:r>
    </w:p>
    <w:p>
      <w:pPr>
        <w:pStyle w:val="FirstParagraph"/>
      </w:pPr>
      <w:r>
        <w:t xml:space="preserve">In conclusion, the partnership between TransGlobal Logistics and its dedicated</w:t>
      </w:r>
      <w:r>
        <w:t xml:space="preserve"> </w:t>
      </w:r>
      <w:r>
        <w:rPr>
          <w:bCs/>
          <w:b/>
        </w:rPr>
        <w:t xml:space="preserve">Business Consultant</w:t>
      </w:r>
      <w:r>
        <w:t xml:space="preserve"> </w:t>
      </w:r>
      <w:r>
        <w:t xml:space="preserve">transformed a potentially risky market entry into a robust, compliant, and culturally integrated business operation. As the UAE continues to position itself as a global hub for trade and innovation, the role of specialized consultancy in navigating the unique landscape of</w:t>
      </w:r>
      <w:r>
        <w:t xml:space="preserve"> </w:t>
      </w:r>
      <w:r>
        <w:rPr>
          <w:bCs/>
          <w:b/>
        </w:rPr>
        <w:t xml:space="preserve">United Arab Emirates Abu Dhabi</w:t>
      </w:r>
      <w:r>
        <w:t xml:space="preserve"> </w:t>
      </w:r>
      <w:r>
        <w:t xml:space="preserve">remains indispensable.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Consultancy in the UAE</dc:title>
  <dc:creator/>
  <dc:language>en</dc:language>
  <cp:keywords/>
  <dcterms:created xsi:type="dcterms:W3CDTF">2026-07-29T20:32:30Z</dcterms:created>
  <dcterms:modified xsi:type="dcterms:W3CDTF">2026-07-29T20:32:30Z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