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Chef</w:t>
      </w:r>
      <w:r>
        <w:t xml:space="preserve"> </w:t>
      </w:r>
      <w:r>
        <w:t xml:space="preserve">in</w:t>
      </w:r>
      <w:r>
        <w:t xml:space="preserve"> </w:t>
      </w:r>
      <w:r>
        <w:t xml:space="preserve">Australia</w:t>
      </w:r>
      <w:r>
        <w:t xml:space="preserve"> </w:t>
      </w:r>
      <w:r>
        <w:t xml:space="preserve">Sydney</w:t>
      </w:r>
    </w:p>
    <w:bookmarkStart w:id="31" w:name="Xd3cb1059f5da58ec70ec65eafe8abf6be0a4772"/>
    <w:p>
      <w:pPr>
        <w:pStyle w:val="Heading1"/>
      </w:pPr>
      <w:r>
        <w:t xml:space="preserve">Case Study: Streamlining IT Infrastructure with Chef in Australia Sydney</w:t>
      </w:r>
    </w:p>
    <w:p>
      <w:pPr>
        <w:pStyle w:val="FirstParagraph"/>
      </w:pPr>
      <w:r>
        <w:rPr>
          <w:bCs/>
          <w:b/>
        </w:rPr>
        <w:t xml:space="preserve">Date:</w:t>
      </w:r>
      <w:r>
        <w:t xml:space="preserve"> </w:t>
      </w:r>
      <w:r>
        <w:t xml:space="preserve">October 24, 2023</w:t>
      </w:r>
      <w:r>
        <w:br/>
      </w:r>
      <w:r>
        <w:rPr>
          <w:bCs/>
          <w:b/>
        </w:rPr>
        <w:t xml:space="preserve">Clients:</w:t>
      </w:r>
      <w:r>
        <w:t xml:space="preserve"> </w:t>
      </w:r>
      <w:r>
        <w:t xml:space="preserve">GreenLeaf Logistics (Fictional Name)</w:t>
      </w:r>
      <w:r>
        <w:br/>
      </w:r>
      <w:r>
        <w:rPr>
          <w:bCs/>
          <w:b/>
        </w:rPr>
        <w:t xml:space="preserve">Location:</w:t>
      </w:r>
      <w:r>
        <w:t xml:space="preserve"> </w:t>
      </w:r>
      <w:r>
        <w:t xml:space="preserve">Australia, Sydney</w:t>
      </w:r>
      <w:r>
        <w:br/>
      </w:r>
      <w:r>
        <w:br/>
      </w:r>
    </w:p>
    <w:bookmarkStart w:id="20" w:name="executive-summary"/>
    <w:p>
      <w:pPr>
        <w:pStyle w:val="Heading2"/>
      </w:pPr>
      <w:r>
        <w:t xml:space="preserve">1. Executive Summary</w:t>
      </w:r>
    </w:p>
    <w:p>
      <w:pPr>
        <w:pStyle w:val="FirstParagraph"/>
      </w:pPr>
      <w:r>
        <w:t xml:space="preserve">In the rapidly evolving landscape of digital transformation, organizations operating in major tech hubs such as Australia Sydney are under immense pressure to deliver scalable and reliable infrastructure. This case study explores how GreenLeaf Logistics, a mid-sized logistics and supply chain technology firm based in Sydney, leveraged Chef to modernize their DevOps practices. By adopting Chef as their primary configuration management toolGreenLeaf achieved significant improvements in deployment speed, consistency, and compliance within the Australian regulatory environment.</w:t>
      </w:r>
    </w:p>
    <w:bookmarkEnd w:id="20"/>
    <w:bookmarkStart w:id="21" w:name="company-background"/>
    <w:p>
      <w:pPr>
        <w:pStyle w:val="Heading2"/>
      </w:pPr>
      <w:r>
        <w:t xml:space="preserve">2. Company Background</w:t>
      </w:r>
    </w:p>
    <w:p>
      <w:pPr>
        <w:pStyle w:val="FirstParagraph"/>
      </w:pPr>
      <w:r>
        <w:t xml:space="preserve">GreenLeaf Logistics is a prominent player in the Southern Hemisphere supply chain sector, headquartered in the bustling business district of Australia Sydney. The company specializes in real-time tracking solutions for freight companies across Oceania and Asia-Pacific regions. As their service offerings expanded to include cloud-native applications and IoT integrations, their existing manual deployment processes became unsustainable.</w:t>
      </w:r>
      <w:r>
        <w:t xml:space="preserve"> </w:t>
      </w:r>
      <w:r>
        <w:t xml:space="preserve">The team faced growing pains typical of high-growth tech firms: inconsistent server configurations, long lead times for feature releases, and difficulties in maintaining compliance with Australian data sovereignty laws. The need for a robust automation tool became critical to sustaining their competitive edge in the Sydney market.</w:t>
      </w:r>
    </w:p>
    <w:bookmarkEnd w:id="21"/>
    <w:bookmarkStart w:id="22" w:name="challenges"/>
    <w:p>
      <w:pPr>
        <w:pStyle w:val="Heading2"/>
      </w:pPr>
      <w:r>
        <w:t xml:space="preserve">3. Challenges</w:t>
      </w:r>
    </w:p>
    <w:p>
      <w:pPr>
        <w:pStyle w:val="FirstParagraph"/>
      </w:pPr>
      <w:r>
        <w:t xml:space="preserve">Prior to implementing Chef, GreenLeaf Logistics faced several significant challenges:</w:t>
      </w:r>
    </w:p>
    <w:p>
      <w:pPr>
        <w:numPr>
          <w:ilvl w:val="0"/>
          <w:numId w:val="1001"/>
        </w:numPr>
        <w:pStyle w:val="Compact"/>
      </w:pPr>
      <w:r>
        <w:rPr>
          <w:bCs/>
          <w:b/>
        </w:rPr>
        <w:t xml:space="preserve">Inconsistent Environments:</w:t>
      </w:r>
      <w:r>
        <w:t xml:space="preserve"> </w:t>
      </w:r>
      <w:r>
        <w:t xml:space="preserve">Development, testing, and production environments often drifted apart due to manual configuration errors. This "it works on my machine" syndrome caused frequent bugs in production.</w:t>
      </w:r>
    </w:p>
    <w:p>
      <w:pPr>
        <w:numPr>
          <w:ilvl w:val="0"/>
          <w:numId w:val="1001"/>
        </w:numPr>
        <w:pStyle w:val="Compact"/>
      </w:pPr>
      <w:r>
        <w:rPr>
          <w:bCs/>
          <w:b/>
        </w:rPr>
        <w:t xml:space="preserve">Slow Deployment Cycles:</w:t>
      </w:r>
      <w:r>
        <w:t xml:space="preserve"> </w:t>
      </w:r>
      <w:r>
        <w:t xml:space="preserve">Releasing new features took an average of two weeks because each server required individual attention and verification. In the fast-paced tech sector of Australia Sydney, this latency was unacceptable.</w:t>
      </w:r>
    </w:p>
    <w:p>
      <w:pPr>
        <w:numPr>
          <w:ilvl w:val="0"/>
          <w:numId w:val="1001"/>
        </w:numPr>
        <w:pStyle w:val="Compact"/>
      </w:pPr>
      <w:r>
        <w:t xml:space="preserve">Compliance Risks:Australia has strict data protection regulations (such as the Privacy Act 1988). Ensuring that every server complied with these standards manually was time-consuming and prone to human error.</w:t>
      </w:r>
    </w:p>
    <w:p>
      <w:pPr>
        <w:numPr>
          <w:ilvl w:val="0"/>
          <w:numId w:val="1001"/>
        </w:numPr>
        <w:pStyle w:val="Compact"/>
      </w:pPr>
      <w:r>
        <w:rPr>
          <w:bCs/>
          <w:b/>
        </w:rPr>
        <w:t xml:space="preserve">Lack of Visibility:</w:t>
      </w:r>
      <w:r>
        <w:t xml:space="preserve"> </w:t>
      </w:r>
      <w:r>
        <w:t xml:space="preserve">The operations team lacked a centralized view of their infrastructure health, making troubleshooting difficult.</w:t>
      </w:r>
    </w:p>
    <w:bookmarkEnd w:id="22"/>
    <w:bookmarkStart w:id="26" w:name="solution-adopting-chef"/>
    <w:p>
      <w:pPr>
        <w:pStyle w:val="Heading2"/>
      </w:pPr>
      <w:r>
        <w:t xml:space="preserve">4. Solution: Adopting Chef</w:t>
      </w:r>
    </w:p>
    <w:p>
      <w:pPr>
        <w:pStyle w:val="FirstParagraph"/>
      </w:pPr>
      <w:r>
        <w:t xml:space="preserve">After evaluating several configuration management tools, including Ansible and Puppet, GreenLeaf chose Chef due to its flexibility, strong community support in the developer community of Australia Sydney, and its Ruby-based domain-specific language (DSL) that allowed developers to write code as infrastructure.</w:t>
      </w:r>
    </w:p>
    <w:bookmarkStart w:id="23" w:name="infrastructure-as-code-iac"/>
    <w:p>
      <w:pPr>
        <w:pStyle w:val="Heading3"/>
      </w:pPr>
      <w:r>
        <w:t xml:space="preserve">4.1 Infrastructure as Code (IaC)</w:t>
      </w:r>
    </w:p>
    <w:p>
      <w:pPr>
        <w:pStyle w:val="FirstParagraph"/>
      </w:pPr>
      <w:r>
        <w:t xml:space="preserve">The core of the solution was moving to an Infrastructure as Code model using Chef Cookbooks. Instead of manually configuring servers, the IT team wrote recipes in Chef that defined how every component of their infrastructure should be configured. This ensured that any server provisioned in Sydney data centers or cloud environments would have identical settings.</w:t>
      </w:r>
    </w:p>
    <w:bookmarkEnd w:id="23"/>
    <w:bookmarkStart w:id="24" w:name="chef-server-and-workstations"/>
    <w:p>
      <w:pPr>
        <w:pStyle w:val="Heading3"/>
      </w:pPr>
      <w:r>
        <w:t xml:space="preserve">4.2 Chef Server and Workstations</w:t>
      </w:r>
    </w:p>
    <w:p>
      <w:pPr>
        <w:pStyle w:val="FirstParagraph"/>
      </w:pPr>
      <w:r>
        <w:t xml:space="preserve">GreenLeaf set up a private Chef Server hosted within Australia to ensure data residency compliance. Engineers used Chef Workstations locally in their offices across Sydney to develop, test, and upload cookbooks. This setup allowed for rapid iteration while maintaining control over sensitive configuration data.</w:t>
      </w:r>
    </w:p>
    <w:bookmarkEnd w:id="24"/>
    <w:bookmarkStart w:id="25" w:name="compliance-as-code"/>
    <w:p>
      <w:pPr>
        <w:pStyle w:val="Heading3"/>
      </w:pPr>
      <w:r>
        <w:t xml:space="preserve">4.3 Compliance as Code</w:t>
      </w:r>
    </w:p>
    <w:p>
      <w:pPr>
        <w:pStyle w:val="FirstParagraph"/>
      </w:pPr>
      <w:r>
        <w:t xml:space="preserve">One of the most impactful aspects of the Chef implementation was the use of InSpec tests. The security team wrote automated compliance tests that verified each node against Australian privacy standards. If a server deviated from the policy, Chef would automatically remediate it or flag it for review.</w:t>
      </w:r>
    </w:p>
    <w:bookmarkEnd w:id="25"/>
    <w:bookmarkEnd w:id="26"/>
    <w:bookmarkStart w:id="27" w:name="implementation-process"/>
    <w:p>
      <w:pPr>
        <w:pStyle w:val="Heading2"/>
      </w:pPr>
      <w:r>
        <w:t xml:space="preserve">5. Implementation Process</w:t>
      </w:r>
    </w:p>
    <w:p>
      <w:pPr>
        <w:pStyle w:val="FirstParagraph"/>
      </w:pPr>
      <w:r>
        <w:t xml:space="preserve">The migration to Chef was phased over six months:</w:t>
      </w:r>
    </w:p>
    <w:p>
      <w:pPr>
        <w:numPr>
          <w:ilvl w:val="0"/>
          <w:numId w:val="1002"/>
        </w:numPr>
        <w:pStyle w:val="Compact"/>
      </w:pPr>
      <w:r>
        <w:rPr>
          <w:bCs/>
          <w:b/>
        </w:rPr>
        <w:t xml:space="preserve">Audit and Planning:</w:t>
      </w:r>
      <w:r>
        <w:t xml:space="preserve"> </w:t>
      </w:r>
      <w:r>
        <w:t xml:space="preserve">The team audited existing servers and mapped out dependencies. They engaged with local Chef experts in Sydney to best practices.</w:t>
      </w:r>
    </w:p>
    <w:p>
      <w:pPr>
        <w:numPr>
          <w:ilvl w:val="0"/>
          <w:numId w:val="1002"/>
        </w:numPr>
        <w:pStyle w:val="Compact"/>
      </w:pPr>
      <w:r>
        <w:rPr>
          <w:bCs/>
          <w:b/>
        </w:rPr>
        <w:t xml:space="preserve">Cookbook Development:</w:t>
      </w:r>
      <w:r>
        <w:t xml:space="preserve"> </w:t>
      </w:r>
      <w:r>
        <w:t xml:space="preserve">Core cookbooks for web servers, databases, and load balancers were developed. These were version-controlled using Git.</w:t>
      </w:r>
    </w:p>
    <w:p>
      <w:pPr>
        <w:numPr>
          <w:ilvl w:val="0"/>
          <w:numId w:val="1002"/>
        </w:numPr>
        <w:pStyle w:val="Compact"/>
      </w:pPr>
      <w:r>
        <w:t xml:space="preserve">Pilot Program:</w:t>
      </w:r>
    </w:p>
    <w:p>
      <w:pPr>
        <w:numPr>
          <w:ilvl w:val="0"/>
          <w:numId w:val="1000"/>
        </w:numPr>
        <w:pStyle w:val="Compact"/>
      </w:pPr>
      <w:r>
        <w:t xml:space="preserve">A small cluster of non-critical servers in Sydney was configured using Chef. Successes and bottlenecks were identified and addressed.</w:t>
      </w:r>
    </w:p>
    <w:p>
      <w:pPr>
        <w:numPr>
          <w:ilvl w:val="0"/>
          <w:numId w:val="1002"/>
        </w:numPr>
        <w:pStyle w:val="Compact"/>
      </w:pPr>
      <w:r>
        <w:t xml:space="preserve">Full Rollout:The remaining infrastructure was migrated to Chef. Training sessions were held for the entire operations team in their Sydney headquarters.</w:t>
      </w:r>
    </w:p>
    <w:p>
      <w:pPr>
        <w:numPr>
          <w:ilvl w:val="0"/>
          <w:numId w:val="1002"/>
        </w:numPr>
        <w:pStyle w:val="Compact"/>
      </w:pPr>
      <w:r>
        <w:t xml:space="preserve">Ongoing Optimization:</w:t>
      </w:r>
    </w:p>
    <w:p>
      <w:pPr>
        <w:numPr>
          <w:ilvl w:val="0"/>
          <w:numId w:val="1000"/>
        </w:numPr>
        <w:pStyle w:val="Compact"/>
      </w:pPr>
      <w:r>
        <w:t xml:space="preserve">Chef Automate was introduced to provide dashboards and reporting capabilities, giving leadership real-time insights into infrastructure health.</w:t>
      </w:r>
    </w:p>
    <w:bookmarkEnd w:id="27"/>
    <w:bookmarkStart w:id="28" w:name="results-and-benefits"/>
    <w:p>
      <w:pPr>
        <w:pStyle w:val="Heading2"/>
      </w:pPr>
      <w:r>
        <w:t xml:space="preserve">6. Results and Benefits</w:t>
      </w:r>
    </w:p>
    <w:p>
      <w:pPr>
        <w:pStyle w:val="FirstParagraph"/>
      </w:pPr>
      <w:r>
        <w:t xml:space="preserve">Six months post-implementation, GreenLeaf Logistics reported remarkable improvements:</w:t>
      </w:r>
    </w:p>
    <w:p>
      <w:pPr>
        <w:numPr>
          <w:ilvl w:val="0"/>
          <w:numId w:val="1003"/>
        </w:numPr>
        <w:pStyle w:val="Compact"/>
      </w:pPr>
      <w:r>
        <w:rPr>
          <w:bCs/>
          <w:b/>
        </w:rPr>
        <w:t xml:space="preserve">Faster Time to Market:</w:t>
      </w:r>
    </w:p>
    <w:p>
      <w:pPr>
        <w:numPr>
          <w:ilvl w:val="0"/>
          <w:numId w:val="1000"/>
        </w:numPr>
        <w:pStyle w:val="Compact"/>
      </w:pPr>
      <w:r>
        <w:t xml:space="preserve">The deployment cycle reduced from two weeks to under four hours. This agility allowed the company to respond quickly to market demands in Australia and beyond.</w:t>
      </w:r>
    </w:p>
    <w:p>
      <w:pPr>
        <w:numPr>
          <w:ilvl w:val="0"/>
          <w:numId w:val="1003"/>
        </w:numPr>
        <w:pStyle w:val="Compact"/>
      </w:pPr>
      <w:r>
        <w:t xml:space="preserve">Increased Reliability:</w:t>
      </w:r>
    </w:p>
    <w:p>
      <w:pPr>
        <w:numPr>
          <w:ilvl w:val="0"/>
          <w:numId w:val="1000"/>
        </w:numPr>
        <w:pStyle w:val="Compact"/>
      </w:pPr>
      <w:r>
        <w:t xml:space="preserve">The rate of production incidents related configuration errors dropped by 85%.</w:t>
      </w:r>
    </w:p>
    <w:p>
      <w:pPr>
        <w:numPr>
          <w:ilvl w:val="0"/>
          <w:numId w:val="1003"/>
        </w:numPr>
        <w:pStyle w:val="Compact"/>
      </w:pPr>
      <w:r>
        <w:t xml:space="preserve">Enhanced Compliance:</w:t>
      </w:r>
    </w:p>
    <w:p>
      <w:pPr>
        <w:numPr>
          <w:ilvl w:val="0"/>
          <w:numId w:val="1000"/>
        </w:numPr>
        <w:pStyle w:val="Compact"/>
      </w:pPr>
      <w:r>
        <w:t xml:space="preserve">Automated compliance checks ensured that 100% of servers met Australian privacy standards, significantly reducing audit preparation time.</w:t>
      </w:r>
    </w:p>
    <w:p>
      <w:pPr>
        <w:numPr>
          <w:ilvl w:val="0"/>
          <w:numId w:val="1003"/>
        </w:numPr>
        <w:pStyle w:val="Compact"/>
      </w:pPr>
      <w:r>
        <w:t xml:space="preserve">Better Collaboration:</w:t>
      </w:r>
    </w:p>
    <w:p>
      <w:pPr>
        <w:numPr>
          <w:ilvl w:val="0"/>
          <w:numId w:val="1000"/>
        </w:numPr>
        <w:pStyle w:val="Compact"/>
      </w:pPr>
      <w:r>
        <w:t xml:space="preserve">The use of Chef DSL enabled developers and operations staff to collaborate more effectively. Code reviews became a standard part infrastructure changes, fostering a true DevOps culture in the Sydney office.</w:t>
      </w:r>
    </w:p>
    <w:bookmarkEnd w:id="28"/>
    <w:bookmarkStart w:id="29" w:name="conclusion"/>
    <w:p>
      <w:pPr>
        <w:pStyle w:val="Heading2"/>
      </w:pPr>
      <w:r>
        <w:t xml:space="preserve">7. Conclusion</w:t>
      </w:r>
    </w:p>
    <w:p>
      <w:pPr>
        <w:pStyle w:val="FirstParagraph"/>
      </w:pPr>
      <w:r>
        <w:t xml:space="preserve">The adoption of Chef by GreenLeaf Logistics demonstrates the transformative power of configuration management tools in modern IT operations. For businesses operating in dynamic tech hubs like Australia Sydney, leveraging Chef not only solves immediate technical challenges but also provides a strategic advantage through increased agility and compliance.</w:t>
      </w:r>
      <w:r>
        <w:t xml:space="preserve"> </w:t>
      </w:r>
      <w:r>
        <w:t xml:space="preserve">By treating infrastructure as code, GreenLeaf has built a resilient foundation for future growth. Their experience serves as a compelling example for other organizations in the region looking to enhance their DevOps maturity. The combination of Chef's robust feature set and the supportive tech ecosystem in Australia Sydney created an ideal environment for successful implementation.</w:t>
      </w:r>
    </w:p>
    <w:bookmarkEnd w:id="29"/>
    <w:bookmarkStart w:id="30" w:name="recommendations"/>
    <w:p>
      <w:pPr>
        <w:pStyle w:val="Heading2"/>
      </w:pPr>
      <w:r>
        <w:t xml:space="preserve">8. Recommendations</w:t>
      </w:r>
    </w:p>
    <w:p>
      <w:pPr>
        <w:pStyle w:val="FirstParagraph"/>
      </w:pPr>
      <w:r>
        <w:t xml:space="preserve">Based on this Case Study, we recommend that similar enterprises consider the following steps:</w:t>
      </w:r>
    </w:p>
    <w:p>
      <w:pPr>
        <w:numPr>
          <w:ilvl w:val="0"/>
          <w:numId w:val="1004"/>
        </w:numPr>
        <w:pStyle w:val="Compact"/>
      </w:pPr>
      <w:r>
        <w:rPr>
          <w:bCs/>
          <w:b/>
        </w:rPr>
        <w:t xml:space="preserve">Evaluate Local Support:</w:t>
      </w:r>
    </w:p>
    <w:p>
      <w:pPr>
        <w:numPr>
          <w:ilvl w:val="0"/>
          <w:numId w:val="1000"/>
        </w:numPr>
        <w:pStyle w:val="Compact"/>
      </w:pPr>
      <w:r>
        <w:t xml:space="preserve">Leverage the strong community and professional services available in Australia Sydney to accelerate adoption.</w:t>
      </w:r>
    </w:p>
    <w:p>
      <w:pPr>
        <w:numPr>
          <w:ilvl w:val="0"/>
          <w:numId w:val="1004"/>
        </w:numPr>
        <w:pStyle w:val="Compact"/>
      </w:pPr>
      <w:r>
        <w:t xml:space="preserve">Start Small:</w:t>
      </w:r>
    </w:p>
    <w:p>
      <w:pPr>
        <w:numPr>
          <w:ilvl w:val="0"/>
          <w:numId w:val="1000"/>
        </w:numPr>
        <w:pStyle w:val="Compact"/>
      </w:pPr>
      <w:r>
        <w:t xml:space="preserve">Pilot Chef with non-critical workloads before scaling.</w:t>
      </w:r>
    </w:p>
    <w:p>
      <w:pPr>
        <w:numPr>
          <w:ilvl w:val="0"/>
          <w:numId w:val="1004"/>
        </w:numPr>
        <w:pStyle w:val="Compact"/>
      </w:pPr>
      <w:r>
        <w:t xml:space="preserve">Prioritize Compliance:</w:t>
      </w:r>
    </w:p>
    <w:p>
      <w:pPr>
        <w:numPr>
          <w:ilvl w:val="0"/>
          <w:numId w:val="1000"/>
        </w:numPr>
        <w:pStyle w:val="Compact"/>
      </w:pPr>
      <w:r>
        <w:t xml:space="preserve">Integrate compliance testing early in the workflow to ensure regulatory adherence from day one.</w:t>
      </w:r>
    </w:p>
    <w:p>
      <w:pPr>
        <w:pStyle w:val="FirstParagraph"/>
      </w:pPr>
      <w:r>
        <w:t xml:space="preserve">This Case Study is for illustrative purposes only. All names and data have been fictionalized to protect privacy while highlighting best practices in using Chef within the Australia Sydney context.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Chef in Australia Sydney</dc:title>
  <dc:creator/>
  <dc:language>en</dc:language>
  <cp:keywords/>
  <dcterms:created xsi:type="dcterms:W3CDTF">2026-07-29T08:09:33Z</dcterms:created>
  <dcterms:modified xsi:type="dcterms:W3CDTF">2026-07-29T08:09:33Z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