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Chef</w:t>
      </w:r>
      <w:r>
        <w:t xml:space="preserve"> </w:t>
      </w:r>
      <w:r>
        <w:t xml:space="preserve">in</w:t>
      </w:r>
      <w:r>
        <w:t xml:space="preserve"> </w:t>
      </w:r>
      <w:r>
        <w:t xml:space="preserve">Germany</w:t>
      </w:r>
      <w:r>
        <w:t xml:space="preserve"> </w:t>
      </w:r>
      <w:r>
        <w:t xml:space="preserve">Frankfurt</w:t>
      </w:r>
    </w:p>
    <w:bookmarkStart w:id="30" w:name="Xc478e9ec2d9f287ea2cee807c192a74695c9201"/>
    <w:p>
      <w:pPr>
        <w:pStyle w:val="Heading1"/>
      </w:pPr>
      <w:r>
        <w:t xml:space="preserve">Digital Transformation in the Heart of Europe: A Case Study on Chef Implementation in Germany Frankfurt</w:t>
      </w:r>
    </w:p>
    <w:p>
      <w:pPr>
        <w:pStyle w:val="FirstParagraph"/>
      </w:pPr>
      <w:r>
        <w:t xml:space="preserve">In the rapidly evolving landscape of modern enterprise IT, the demand for agile, scalable, and compliant infrastructure management has never been more critical. This case study explores a comprehensive digital transformation initiative undertaken by a leading multinational financial services firm located in</w:t>
      </w:r>
      <w:r>
        <w:t xml:space="preserve"> </w:t>
      </w:r>
      <w:r>
        <w:rPr>
          <w:bCs/>
          <w:b/>
        </w:rPr>
        <w:t xml:space="preserve">Germany Frankfurt</w:t>
      </w:r>
      <w:r>
        <w:t xml:space="preserve">. The core challenge involved modernizing legacy deployment processes through the adoption of</w:t>
      </w:r>
      <w:r>
        <w:t xml:space="preserve"> </w:t>
      </w:r>
      <w:r>
        <w:rPr>
          <w:bCs/>
          <w:b/>
        </w:rPr>
        <w:t xml:space="preserve">Chef</w:t>
      </w:r>
      <w:r>
        <w:t xml:space="preserve">, an industry-leading automation platform designed to build, configure, and manage infrastructure across any environment. By focusing on the intersection of advanced technical automation and strict European regulatory standards, this document highlights how</w:t>
      </w:r>
      <w:r>
        <w:t xml:space="preserve"> </w:t>
      </w:r>
      <w:r>
        <w:rPr>
          <w:bCs/>
          <w:b/>
        </w:rPr>
        <w:t xml:space="preserve">Germany Frankfurt</w:t>
      </w:r>
      <w:r>
        <w:t xml:space="preserve"> </w:t>
      </w:r>
      <w:r>
        <w:t xml:space="preserve">serves as a strategic hub for implementing robust DevOps practices using</w:t>
      </w:r>
      <w:r>
        <w:t xml:space="preserve"> </w:t>
      </w:r>
      <w:r>
        <w:rPr>
          <w:bCs/>
          <w:b/>
        </w:rPr>
        <w:t xml:space="preserve">Chef</w:t>
      </w:r>
      <w:r>
        <w:t xml:space="preserve">.</w:t>
      </w:r>
    </w:p>
    <w:bookmarkStart w:id="20" w:name="executive-summary"/>
    <w:p>
      <w:pPr>
        <w:pStyle w:val="Heading2"/>
      </w:pPr>
      <w:r>
        <w:t xml:space="preserve">1. Executive Summary</w:t>
      </w:r>
    </w:p>
    <w:p>
      <w:pPr>
        <w:pStyle w:val="FirstParagraph"/>
      </w:pPr>
      <w:r>
        <w:t xml:space="preserve">The organization, headquartered in the financial district of Frankfurt, faced significant operational bottlenecks due to manual configuration management processes. As the company expanded its cloud footprint across European data centers, maintaining consistency and security became increasingly difficult. The primary objective was to achieve Infrastructure as Code (IaC) capabilities to ensure rapid deployment times while adhering to stringent German privacy laws and EU general data protection regulations (GDPR). The implementation of</w:t>
      </w:r>
      <w:r>
        <w:t xml:space="preserve"> </w:t>
      </w:r>
      <w:r>
        <w:rPr>
          <w:bCs/>
          <w:b/>
        </w:rPr>
        <w:t xml:space="preserve">Chef</w:t>
      </w:r>
      <w:r>
        <w:t xml:space="preserve"> </w:t>
      </w:r>
      <w:r>
        <w:t xml:space="preserve">provided a standardized framework for automating infrastructure, resulting in a 60% reduction in deployment time and enhanced security compliance.</w:t>
      </w:r>
    </w:p>
    <w:bookmarkEnd w:id="20"/>
    <w:bookmarkStart w:id="21" w:name="X33657f56c8672fc13f2f26e9b4ae332764a5659"/>
    <w:p>
      <w:pPr>
        <w:pStyle w:val="Heading2"/>
      </w:pPr>
      <w:r>
        <w:t xml:space="preserve">2. Company Profile and Context: The Frankfurt Advantage</w:t>
      </w:r>
    </w:p>
    <w:p>
      <w:pPr>
        <w:pStyle w:val="FirstParagraph"/>
      </w:pPr>
      <w:r>
        <w:rPr>
          <w:bCs/>
          <w:b/>
        </w:rPr>
        <w:t xml:space="preserve">Germany Frankfurt</w:t>
      </w:r>
      <w:r>
        <w:t xml:space="preserve">, often referred to as the "Mainhattan" of Europe, has emerged as one of the continent's most important hubs for data centers and financial technology. Its strategic location offers low-latency connections across Europe, making it an ideal base for global enterprises. The company in question leverages this geographic advantage by hosting its primary European infrastructure in Frankfurt-based data centers operated by major cloud providers such as AWS eu-central-1 and Azure Germany Central.</w:t>
      </w:r>
    </w:p>
    <w:p>
      <w:pPr>
        <w:pStyle w:val="BodyText"/>
      </w:pPr>
      <w:r>
        <w:t xml:space="preserve">However, being located in</w:t>
      </w:r>
      <w:r>
        <w:t xml:space="preserve"> </w:t>
      </w:r>
      <w:r>
        <w:rPr>
          <w:bCs/>
          <w:b/>
        </w:rPr>
        <w:t xml:space="preserve">Germany Frankfurt</w:t>
      </w:r>
      <w:r>
        <w:t xml:space="preserve"> </w:t>
      </w:r>
      <w:r>
        <w:t xml:space="preserve">also imposes specific challenges. The region is known for rigorous regulatory scrutiny regarding data sovereignty and privacy. Consequently, any IT transformation must not only improve efficiency but also ensure that data remains within legal boundaries and that audit trails are immutable and transparent.</w:t>
      </w:r>
    </w:p>
    <w:bookmarkEnd w:id="21"/>
    <w:bookmarkStart w:id="22" w:name="X8eb44d6a9d5e1e239db9fe24c9aebf2a5b4cc18"/>
    <w:p>
      <w:pPr>
        <w:pStyle w:val="Heading2"/>
      </w:pPr>
      <w:r>
        <w:t xml:space="preserve">3. The Challenge: Legacy Management vs. Modern Demands</w:t>
      </w:r>
    </w:p>
    <w:p>
      <w:pPr>
        <w:pStyle w:val="FirstParagraph"/>
      </w:pPr>
      <w:r>
        <w:t xml:space="preserve">Prior to the adoption of</w:t>
      </w:r>
      <w:r>
        <w:t xml:space="preserve"> </w:t>
      </w:r>
      <w:r>
        <w:rPr>
          <w:bCs/>
          <w:b/>
        </w:rPr>
        <w:t xml:space="preserve">Chef</w:t>
      </w:r>
      <w:r>
        <w:t xml:space="preserve">, the IT operations team in Frankfurt relied heavily on shell scripts and manual interventions for server configuration. This approach led to several critical issues:</w:t>
      </w:r>
    </w:p>
    <w:p>
      <w:pPr>
        <w:numPr>
          <w:ilvl w:val="0"/>
          <w:numId w:val="1001"/>
        </w:numPr>
        <w:pStyle w:val="Compact"/>
      </w:pPr>
      <w:r>
        <w:rPr>
          <w:bCs/>
          <w:b/>
        </w:rPr>
        <w:t xml:space="preserve">Inconsistency:</w:t>
      </w:r>
      <w:r>
        <w:t xml:space="preserve"> </w:t>
      </w:r>
      <w:r>
        <w:t xml:space="preserve">"Configuration drift" was common, where servers diverged from their intended state over time, leading to unpredictable behavior.</w:t>
      </w:r>
    </w:p>
    <w:p>
      <w:pPr>
        <w:numPr>
          <w:ilvl w:val="0"/>
          <w:numId w:val="1001"/>
        </w:numPr>
        <w:pStyle w:val="Compact"/>
      </w:pPr>
      <w:r>
        <w:rPr>
          <w:bCs/>
          <w:b/>
        </w:rPr>
        <w:t xml:space="preserve">Slow Deployment Cycles:</w:t>
      </w:r>
      <w:r>
        <w:t xml:space="preserve"> </w:t>
      </w:r>
      <w:r>
        <w:t xml:space="preserve">Provisioning a new service environment took days rather than minutes, stifling the agility of development teams.</w:t>
      </w:r>
    </w:p>
    <w:p>
      <w:pPr>
        <w:numPr>
          <w:ilvl w:val="0"/>
          <w:numId w:val="1001"/>
        </w:numPr>
        <w:pStyle w:val="Compact"/>
      </w:pPr>
      <w:r>
        <w:rPr>
          <w:bCs/>
          <w:b/>
        </w:rPr>
        <w:t xml:space="preserve">Audit Complexity:</w:t>
      </w:r>
      <w:r>
        <w:t xml:space="preserve"> </w:t>
      </w:r>
      <w:r>
        <w:t xml:space="preserve">Demonstrating compliance with German and EU regulations was labor-intensive due to the lack of version-controlled infrastructure definitions.</w:t>
      </w:r>
    </w:p>
    <w:p>
      <w:pPr>
        <w:numPr>
          <w:ilvl w:val="0"/>
          <w:numId w:val="1001"/>
        </w:numPr>
        <w:pStyle w:val="Compact"/>
      </w:pPr>
      <w:r>
        <w:rPr>
          <w:bCs/>
          <w:b/>
        </w:rPr>
        <w:t xml:space="preserve">Skill Gaps:</w:t>
      </w:r>
      <w:r>
        <w:t xml:space="preserve"> </w:t>
      </w:r>
      <w:r>
        <w:t xml:space="preserve">The manual processes required deep knowledge of specific server states, making onboarding new engineers difficult and creating single points of failure.</w:t>
      </w:r>
    </w:p>
    <w:bookmarkEnd w:id="22"/>
    <w:bookmarkStart w:id="26" w:name="Xd208a0ebce3e8d43ac5b2a573335f0f977f13c7"/>
    <w:p>
      <w:pPr>
        <w:pStyle w:val="Heading2"/>
      </w:pPr>
      <w:r>
        <w:t xml:space="preserve">4. The Solution: Adopting Chef for Infrastructure Automation</w:t>
      </w:r>
    </w:p>
    <w:p>
      <w:pPr>
        <w:pStyle w:val="FirstParagraph"/>
      </w:pPr>
      <w:r>
        <w:t xml:space="preserve">The decision was made to implement</w:t>
      </w:r>
      <w:r>
        <w:t xml:space="preserve"> </w:t>
      </w:r>
      <w:r>
        <w:rPr>
          <w:bCs/>
          <w:b/>
        </w:rPr>
        <w:t xml:space="preserve">Chef</w:t>
      </w:r>
      <w:r>
        <w:t xml:space="preserve">, chosen for its powerful DSL (Domain Specific Language) based on Ruby, which allowed developers and operations engineers to express infrastructure requirements in a clear, readable manner. The implementation strategy focused on three key pillars: Policy-Driven Automation, Compliance as Code, and Seamless Integration with CI/CD pipelines.</w:t>
      </w:r>
    </w:p>
    <w:bookmarkStart w:id="23" w:name="centralized-management-via-chef-automate"/>
    <w:p>
      <w:pPr>
        <w:pStyle w:val="Heading3"/>
      </w:pPr>
      <w:r>
        <w:t xml:space="preserve">4.1 Centralized Management via Chef Automate</w:t>
      </w:r>
    </w:p>
    <w:p>
      <w:pPr>
        <w:pStyle w:val="FirstParagraph"/>
      </w:pPr>
      <w:r>
        <w:t xml:space="preserve">The organization deployed Chef Automate to gain visibility into their infrastructure. This central dashboard allowed the Frankfurt-based IT team to monitor compliance in real-time. Every server, whether running in a private data center or on public cloud instances in</w:t>
      </w:r>
      <w:r>
        <w:t xml:space="preserve"> </w:t>
      </w:r>
      <w:r>
        <w:rPr>
          <w:bCs/>
          <w:b/>
        </w:rPr>
        <w:t xml:space="preserve">Germany Frankfurt</w:t>
      </w:r>
      <w:r>
        <w:t xml:space="preserve">, was registered with the Chef server. This created a single source of truth for the entire infrastructure state.</w:t>
      </w:r>
    </w:p>
    <w:bookmarkEnd w:id="23"/>
    <w:bookmarkStart w:id="24" w:name="compliance-as-code-inspec"/>
    <w:p>
      <w:pPr>
        <w:pStyle w:val="Heading3"/>
      </w:pPr>
      <w:r>
        <w:t xml:space="preserve">4.2 Compliance as Code (InSpec)</w:t>
      </w:r>
    </w:p>
    <w:p>
      <w:pPr>
        <w:pStyle w:val="FirstParagraph"/>
      </w:pPr>
      <w:r>
        <w:t xml:space="preserve">A critical component of this case study is how</w:t>
      </w:r>
      <w:r>
        <w:t xml:space="preserve"> </w:t>
      </w:r>
      <w:r>
        <w:rPr>
          <w:bCs/>
          <w:b/>
        </w:rPr>
        <w:t xml:space="preserve">Chef</w:t>
      </w:r>
      <w:r>
        <w:t xml:space="preserve"> </w:t>
      </w:r>
      <w:r>
        <w:t xml:space="preserve">integrates with InSpec, a testing framework for infrastructure. The team wrote custom compliance profiles specifically tailored to German regulatory standards. For example, checks were implemented to ensure that no data was being transmitted outside the EU unless explicitly encrypted and authorized. These tests ran automatically on every Chef run, ensuring that any deviation from the secure baseline was immediately flagged and corrected.</w:t>
      </w:r>
    </w:p>
    <w:bookmarkEnd w:id="24"/>
    <w:bookmarkStart w:id="25" w:name="hybrid-cloud-strategy"/>
    <w:p>
      <w:pPr>
        <w:pStyle w:val="Heading3"/>
      </w:pPr>
      <w:r>
        <w:t xml:space="preserve">4.3 Hybrid Cloud Strategy</w:t>
      </w:r>
    </w:p>
    <w:p>
      <w:pPr>
        <w:pStyle w:val="FirstParagraph"/>
      </w:pPr>
      <w:r>
        <w:t xml:space="preserve">Leveraging its location in</w:t>
      </w:r>
      <w:r>
        <w:t xml:space="preserve"> </w:t>
      </w:r>
      <w:r>
        <w:rPr>
          <w:bCs/>
          <w:b/>
        </w:rPr>
        <w:t xml:space="preserve">Germany Frankfurt</w:t>
      </w:r>
      <w:r>
        <w:t xml:space="preserve">, the company adopted a hybrid approach. Sensitive customer data remained on-premise or in dedicated private cloud segments, while less sensitive workloads ran on public clouds. Chef managed both environments seamlessly, using the same cookbooks and policies to ensure consistent configuration regardless of where the infrastructure physically resided.</w:t>
      </w:r>
    </w:p>
    <w:bookmarkEnd w:id="25"/>
    <w:bookmarkEnd w:id="26"/>
    <w:bookmarkStart w:id="27" w:name="implementation-process"/>
    <w:p>
      <w:pPr>
        <w:pStyle w:val="Heading2"/>
      </w:pPr>
      <w:r>
        <w:t xml:space="preserve">5. Implementation Process</w:t>
      </w:r>
    </w:p>
    <w:p>
      <w:pPr>
        <w:pStyle w:val="FirstParagraph"/>
      </w:pPr>
      <w:r>
        <w:t xml:space="preserve">The rollout of</w:t>
      </w:r>
      <w:r>
        <w:t xml:space="preserve"> </w:t>
      </w:r>
      <w:r>
        <w:rPr>
          <w:bCs/>
          <w:b/>
        </w:rPr>
        <w:t xml:space="preserve">Chef</w:t>
      </w:r>
      <w:r>
        <w:t xml:space="preserve"> </w:t>
      </w:r>
      <w:r>
        <w:t xml:space="preserve">was phased to minimize disruption:</w:t>
      </w:r>
    </w:p>
    <w:p>
      <w:pPr>
        <w:numPr>
          <w:ilvl w:val="0"/>
          <w:numId w:val="1002"/>
        </w:numPr>
        <w:pStyle w:val="Compact"/>
      </w:pPr>
      <w:r>
        <w:rPr>
          <w:bCs/>
          <w:b/>
        </w:rPr>
        <w:t xml:space="preserve">Pilot Phase:</w:t>
      </w:r>
      <w:r>
        <w:t xml:space="preserve">A small subset of non-critical web servers in Frankfurt were automated. This allowed the team to refine their cookbooks and test the integration with existing monitoring tools.</w:t>
      </w:r>
    </w:p>
    <w:p>
      <w:pPr>
        <w:numPr>
          <w:ilvl w:val="0"/>
          <w:numId w:val="1002"/>
        </w:numPr>
        <w:pStyle w:val="Compact"/>
      </w:pPr>
      <w:r>
        <w:rPr>
          <w:bCs/>
          <w:b/>
        </w:rPr>
        <w:t xml:space="preserve">Socialization and Training:</w:t>
      </w:r>
    </w:p>
    <w:p>
      <w:pPr>
        <w:numPr>
          <w:ilvl w:val="0"/>
          <w:numId w:val="1002"/>
        </w:numPr>
        <w:pStyle w:val="Compact"/>
      </w:pPr>
      <w:r>
        <w:rPr>
          <w:bCs/>
          <w:b/>
        </w:rPr>
        <w:t xml:space="preserve">Critical Workloads Migration:</w:t>
      </w:r>
      <w:r>
        <w:t xml:space="preserve"> </w:t>
      </w:r>
      <w:r>
        <w:t xml:space="preserve">Core banking applications were migrated to Chef-managed nodes. This phase involved rigorous regression testing to ensure that performance metrics were maintained or improved.</w:t>
      </w:r>
    </w:p>
    <w:p>
      <w:pPr>
        <w:numPr>
          <w:ilvl w:val="0"/>
          <w:numId w:val="1002"/>
        </w:numPr>
        <w:pStyle w:val="Compact"/>
      </w:pPr>
      <w:r>
        <w:rPr>
          <w:bCs/>
          <w:b/>
        </w:rPr>
        <w:t xml:space="preserve">Full Deployment:</w:t>
      </w:r>
      <w:r>
        <w:t xml:space="preserve"> </w:t>
      </w:r>
      <w:r>
        <w:t xml:space="preserve">All 5,000+ nodes across the Frankfurt data centers and cloud regions were brought under Chef management within six months.</w:t>
      </w:r>
    </w:p>
    <w:bookmarkEnd w:id="27"/>
    <w:bookmarkStart w:id="28" w:name="results-and-benefits"/>
    <w:p>
      <w:pPr>
        <w:pStyle w:val="Heading2"/>
      </w:pPr>
      <w:r>
        <w:t xml:space="preserve">6. Results and Benefits</w:t>
      </w:r>
    </w:p>
    <w:p>
      <w:pPr>
        <w:pStyle w:val="FirstParagraph"/>
      </w:pPr>
      <w:r>
        <w:t xml:space="preserve">The impact of implementing</w:t>
      </w:r>
      <w:r>
        <w:t xml:space="preserve"> </w:t>
      </w:r>
      <w:r>
        <w:rPr>
          <w:bCs/>
          <w:b/>
        </w:rPr>
        <w:t xml:space="preserve">Chef</w:t>
      </w:r>
      <w:r>
        <w:t xml:space="preserve"> </w:t>
      </w:r>
      <w:r>
        <w:t xml:space="preserve">in the Germany Frankfurt context was profound. Key metrics achieved within the first year include:</w:t>
      </w:r>
    </w:p>
    <w:p>
      <w:pPr>
        <w:numPr>
          <w:ilvl w:val="0"/>
          <w:numId w:val="1003"/>
        </w:numPr>
        <w:pStyle w:val="Compact"/>
      </w:pPr>
      <w:r>
        <w:rPr>
          <w:bCs/>
          <w:b/>
        </w:rPr>
        <w:t xml:space="preserve">Faster Time-to-Market:</w:t>
      </w:r>
      <w:r>
        <w:t xml:space="preserve"> </w:t>
      </w:r>
      <w:r>
        <w:t xml:space="preserve">Deployment times decreased by 60%, allowing development teams to release features weekly instead of monthly.</w:t>
      </w:r>
    </w:p>
    <w:p>
      <w:pPr>
        <w:numPr>
          <w:ilvl w:val="0"/>
          <w:numId w:val="1003"/>
        </w:numPr>
        <w:pStyle w:val="Compact"/>
      </w:pPr>
      <w:r>
        <w:rPr>
          <w:bCs/>
          <w:b/>
        </w:rPr>
        <w:t xml:space="preserve">Enhanced Compliance:</w:t>
      </w:r>
      <w:r>
        <w:t xml:space="preserve"> </w:t>
      </w:r>
      <w:r>
        <w:t xml:space="preserve">Automated compliance checks reduced the effort required for external audits by 80%. The ability to prove adherence to GDPR was instantaneous and data-driven.</w:t>
      </w:r>
    </w:p>
    <w:p>
      <w:pPr>
        <w:numPr>
          <w:ilvl w:val="0"/>
          <w:numId w:val="1003"/>
        </w:numPr>
        <w:pStyle w:val="Compact"/>
      </w:pPr>
      <w:r>
        <w:rPr>
          <w:bCs/>
          <w:b/>
        </w:rPr>
        <w:t xml:space="preserve">Reduced Operational Errors:</w:t>
      </w:r>
      <w:r>
        <w:t xml:space="preserve"> </w:t>
      </w:r>
      <w:r>
        <w:t xml:space="preserve">Configuration drift was virtually eliminated, leading to a 40% decrease in server-related incidents.</w:t>
      </w:r>
    </w:p>
    <w:p>
      <w:pPr>
        <w:numPr>
          <w:ilvl w:val="0"/>
          <w:numId w:val="1003"/>
        </w:numPr>
        <w:pStyle w:val="Compact"/>
      </w:pPr>
      <w:r>
        <w:rPr>
          <w:bCs/>
          <w:b/>
        </w:rPr>
        <w:t xml:space="preserve">Better Collaboration:</w:t>
      </w:r>
      <w:r>
        <w:t xml:space="preserve"> </w:t>
      </w:r>
      <w:r>
        <w:t xml:space="preserve">The shared language of Infrastructure as Code broke down silos between development and operations teams in the Frankfurt office.</w:t>
      </w:r>
    </w:p>
    <w:bookmarkEnd w:id="28"/>
    <w:bookmarkStart w:id="29" w:name="conclusion"/>
    <w:p>
      <w:pPr>
        <w:pStyle w:val="Heading2"/>
      </w:pPr>
      <w:r>
        <w:t xml:space="preserve">7. Conclusion</w:t>
      </w:r>
    </w:p>
    <w:p>
      <w:pPr>
        <w:pStyle w:val="FirstParagraph"/>
      </w:pPr>
      <w:r>
        <w:t xml:space="preserve">This case study demonstrates that successfully implementing</w:t>
      </w:r>
      <w:r>
        <w:t xml:space="preserve"> </w:t>
      </w:r>
      <w:r>
        <w:rPr>
          <w:bCs/>
          <w:b/>
        </w:rPr>
        <w:t xml:space="preserve">Chef</w:t>
      </w:r>
      <w:r>
        <w:t xml:space="preserve">, particularly in a highly regulated environment like</w:t>
      </w:r>
      <w:r>
        <w:t xml:space="preserve"> </w:t>
      </w:r>
      <w:r>
        <w:rPr>
          <w:bCs/>
          <w:b/>
        </w:rPr>
        <w:t xml:space="preserve">Germany Frankfurt</w:t>
      </w:r>
      <w:r>
        <w:t xml:space="preserve">, requires more than just technical prowess; it demands a cultural shift towards automation and compliance. By leveraging Chef’s robust capabilities, the company not only solved its immediate operational challenges but also positioned itself as a leader in secure, agile infrastructure management within the European financial sector.</w:t>
      </w:r>
    </w:p>
    <w:p>
      <w:pPr>
        <w:pStyle w:val="BodyText"/>
      </w:pPr>
      <w:r>
        <w:t xml:space="preserve">The experience in</w:t>
      </w:r>
      <w:r>
        <w:t xml:space="preserve"> </w:t>
      </w:r>
      <w:r>
        <w:rPr>
          <w:bCs/>
          <w:b/>
        </w:rPr>
        <w:t xml:space="preserve">Germany Frankfurt</w:t>
      </w:r>
      <w:r>
        <w:t xml:space="preserve"> </w:t>
      </w:r>
      <w:r>
        <w:t xml:space="preserve">serves as a blueprint for other organizations operating in regions with strict data sovereignty laws. It proves that advanced automation tools like</w:t>
      </w:r>
      <w:r>
        <w:t xml:space="preserve"> </w:t>
      </w:r>
      <w:r>
        <w:rPr>
          <w:bCs/>
          <w:b/>
        </w:rPr>
        <w:t xml:space="preserve">Chef</w:t>
      </w:r>
      <w:r>
        <w:t xml:space="preserve"> </w:t>
      </w:r>
      <w:r>
        <w:t xml:space="preserve">can coexist with rigorous regulatory frameworks, turning compliance from a burden into an automated advantage. As the organization continues to expand, the foundational work done in Frankfurt will serve as the template for future deployments across Europe and beyond.</w:t>
      </w:r>
    </w:p>
    <w:p>
      <w:pPr>
        <w:pStyle w:val="BodyText"/>
      </w:pPr>
      <w:r>
        <w:t xml:space="preserve">© 2023 Infrastructure Automation Case Studies.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Chef in Germany Frankfurt</dc:title>
  <dc:creator/>
  <dc:language>en</dc:language>
  <cp:keywords/>
  <dcterms:created xsi:type="dcterms:W3CDTF">2026-07-29T07:30:12Z</dcterms:created>
  <dcterms:modified xsi:type="dcterms:W3CDTF">2026-07-29T07:30:12Z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