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w:t>
      </w:r>
      <w:r>
        <w:t xml:space="preserve"> </w:t>
      </w:r>
      <w:r>
        <w:t xml:space="preserve">Germany</w:t>
      </w:r>
      <w:r>
        <w:t xml:space="preserve"> </w:t>
      </w:r>
      <w:r>
        <w:t xml:space="preserve">Munich</w:t>
      </w:r>
    </w:p>
    <w:bookmarkStart w:id="31" w:name="X45a78d731ac64497a4132c4de146a496b2f4e9f"/>
    <w:p>
      <w:pPr>
        <w:pStyle w:val="Heading1"/>
      </w:pPr>
      <w:r>
        <w:rPr>
          <w:bCs/>
          <w:b/>
        </w:rPr>
        <w:t xml:space="preserve">Case Study:</w:t>
      </w:r>
      <w:r>
        <w:t xml:space="preserve"> </w:t>
      </w:r>
      <w:r>
        <w:t xml:space="preserve">Modernizing Infrastructure at TechNova Solutions Using</w:t>
      </w:r>
      <w:r>
        <w:t xml:space="preserve"> </w:t>
      </w:r>
      <w:r>
        <w:rPr>
          <w:iCs/>
          <w:i/>
        </w:rPr>
        <w:t xml:space="preserve">Chef</w:t>
      </w:r>
    </w:p>
    <w:p>
      <w:pPr>
        <w:pStyle w:val="FirstParagraph"/>
      </w:pPr>
      <w:r>
        <w:rPr>
          <w:bCs/>
          <w:b/>
        </w:rPr>
        <w:t xml:space="preserve">Date:</w:t>
      </w:r>
      <w:r>
        <w:t xml:space="preserve"> </w:t>
      </w:r>
      <w:r>
        <w:t xml:space="preserve">October 26, 2023</w:t>
      </w:r>
      <w:r>
        <w:br/>
      </w:r>
      <w:r>
        <w:rPr>
          <w:bCs/>
          <w:b/>
        </w:rPr>
        <w:t xml:space="preserve">Locus of Operation:</w:t>
      </w:r>
      <w:r>
        <w:t xml:space="preserve"> </w:t>
      </w:r>
      <w:r>
        <w:t xml:space="preserve">Germany Munich</w:t>
      </w:r>
      <w:r>
        <w:br/>
      </w:r>
      <w:r>
        <w:rPr>
          <w:bCs/>
          <w:b/>
        </w:rPr>
        <w:t xml:space="preserve">Subject:</w:t>
      </w:r>
      <w:r>
        <w:t xml:space="preserve"> </w:t>
      </w:r>
      <w:r>
        <w:t xml:space="preserve">The implementation of</w:t>
      </w:r>
      <w:r>
        <w:t xml:space="preserve"> </w:t>
      </w:r>
      <w:r>
        <w:rPr>
          <w:iCs/>
          <w:i/>
        </w:rPr>
        <w:t xml:space="preserve">Chef</w:t>
      </w:r>
      <w:r>
        <w:t xml:space="preserve"> </w:t>
      </w:r>
      <w:r>
        <w:t xml:space="preserve">for automated infrastructure management.</w:t>
      </w:r>
    </w:p>
    <w:bookmarkStart w:id="20" w:name="executive-summary"/>
    <w:p>
      <w:pPr>
        <w:pStyle w:val="Heading2"/>
      </w:pPr>
      <w:r>
        <w:t xml:space="preserve">1. Executive Summary</w:t>
      </w:r>
    </w:p>
    <w:p>
      <w:pPr>
        <w:pStyle w:val="FirstParagraph"/>
      </w:pPr>
      <w:r>
        <w:t xml:space="preserve">In the rapidly evolving landscape of digital transformation, infrastructure automation has become a cornerstone of competitive advantage. This document presents a comprehensive case study regarding TechNova Solutions, a mid-sized software development firm headquartered in</w:t>
      </w:r>
      <w:r>
        <w:t xml:space="preserve"> </w:t>
      </w:r>
      <w:r>
        <w:t xml:space="preserve">Germany Munich</w:t>
      </w:r>
      <w:r>
        <w:t xml:space="preserve">. The core objective was to streamline their deployment pipelines and ensure strict compliance with European data regulations. To achieve this, the organization adopted</w:t>
      </w:r>
      <w:r>
        <w:t xml:space="preserve"> </w:t>
      </w:r>
      <w:r>
        <w:rPr>
          <w:bCs/>
          <w:b/>
        </w:rPr>
        <w:t xml:space="preserve">Chef</w:t>
      </w:r>
      <w:r>
        <w:t xml:space="preserve"> </w:t>
      </w:r>
      <w:r>
        <w:t xml:space="preserve">as its primary Infrastructure as Code (IaC) platform. This case study details the challenges faced in</w:t>
      </w:r>
      <w:r>
        <w:t xml:space="preserve"> </w:t>
      </w:r>
      <w:r>
        <w:t xml:space="preserve">Germany Munich</w:t>
      </w:r>
      <w:r>
        <w:t xml:space="preserve">, the strategic adoption of</w:t>
      </w:r>
      <w:r>
        <w:t xml:space="preserve"> </w:t>
      </w:r>
      <w:r>
        <w:rPr>
          <w:iCs/>
          <w:i/>
        </w:rPr>
        <w:t xml:space="preserve">Chef</w:t>
      </w:r>
      <w:r>
        <w:t xml:space="preserve">, and the tangible outcomes observed post-implementation.</w:t>
      </w:r>
    </w:p>
    <w:bookmarkEnd w:id="20"/>
    <w:bookmarkStart w:id="21" w:name="company-background-and-context"/>
    <w:p>
      <w:pPr>
        <w:pStyle w:val="Heading2"/>
      </w:pPr>
      <w:r>
        <w:t xml:space="preserve">2. Company Background and Context</w:t>
      </w:r>
    </w:p>
    <w:p>
      <w:pPr>
        <w:pStyle w:val="FirstParagraph"/>
      </w:pPr>
      <w:r>
        <w:t xml:space="preserve">TechNova Solutions operates within the dynamic tech hub of</w:t>
      </w:r>
      <w:r>
        <w:t xml:space="preserve"> </w:t>
      </w:r>
      <w:r>
        <w:rPr>
          <w:bCs/>
          <w:b/>
        </w:rPr>
        <w:t xml:space="preserve">Germany Munich</w:t>
      </w:r>
      <w:r>
        <w:t xml:space="preserve">. Known for its high concentration of engineering talent and strict adherence to regulatory standards, the city presents both opportunities and challenges. TechNova specializes in fintech applications that require high availability, security, and scalability. As their client base expanded across the European Union, the complexity of managing heterogeneous infrastructure environments—ranging from on-premise data centers in Munich to cloud instances across Frankfurt and Berlin—increased exponentially.</w:t>
      </w:r>
    </w:p>
    <w:p>
      <w:pPr>
        <w:pStyle w:val="BodyText"/>
      </w:pPr>
      <w:r>
        <w:t xml:space="preserve">The organization recognized that manual server provisioning was no longer sustainable. The need for speed in development cycles clashed with the rigorous requirements for system stability and auditability demanded by German regulatory bodies.</w:t>
      </w:r>
    </w:p>
    <w:bookmarkEnd w:id="21"/>
    <w:bookmarkStart w:id="22" w:name="challenges"/>
    <w:p>
      <w:pPr>
        <w:pStyle w:val="Heading2"/>
      </w:pPr>
      <w:r>
        <w:t xml:space="preserve">3. Challenges</w:t>
      </w:r>
    </w:p>
    <w:p>
      <w:pPr>
        <w:pStyle w:val="FirstParagraph"/>
      </w:pPr>
      <w:r>
        <w:t xml:space="preserve">The primary pain points identified before the adoption of</w:t>
      </w:r>
      <w:r>
        <w:t xml:space="preserve"> </w:t>
      </w:r>
      <w:r>
        <w:rPr>
          <w:iCs/>
          <w:i/>
        </w:rPr>
        <w:t xml:space="preserve">Chef</w:t>
      </w:r>
      <w:r>
        <w:t xml:space="preserve"> </w:t>
      </w:r>
      <w:r>
        <w:t xml:space="preserve">included:</w:t>
      </w:r>
    </w:p>
    <w:p>
      <w:pPr>
        <w:numPr>
          <w:ilvl w:val="0"/>
          <w:numId w:val="1001"/>
        </w:numPr>
        <w:pStyle w:val="Compact"/>
      </w:pPr>
      <w:r>
        <w:rPr>
          <w:bCs/>
          <w:b/>
        </w:rPr>
        <w:t xml:space="preserve">Inconsistent Environments:</w:t>
      </w:r>
      <w:r>
        <w:t xml:space="preserve"> Discrepancies between development, staging, and production environments led to frequent "works on my machine" issues.</w:t>
      </w:r>
    </w:p>
    <w:p>
      <w:pPr>
        <w:numPr>
          <w:ilvl w:val="0"/>
          <w:numId w:val="1001"/>
        </w:numPr>
        <w:pStyle w:val="Compact"/>
      </w:pPr>
      <w:r>
        <w:rPr>
          <w:bCs/>
          <w:b/>
        </w:rPr>
        <w:t xml:space="preserve">Slow Deployment Times:</w:t>
      </w:r>
      <w:r>
        <w:t xml:space="preserve"> Manual configuration of servers in the</w:t>
      </w:r>
      <w:r>
        <w:t xml:space="preserve"> </w:t>
      </w:r>
      <w:r>
        <w:t xml:space="preserve">Germany Munich</w:t>
      </w:r>
      <w:r>
        <w:t xml:space="preserve"> </w:t>
      </w:r>
      <w:r>
        <w:t xml:space="preserve">data center took an average of 4 hours per server, creating bottlenecks during scaling events.</w:t>
      </w:r>
    </w:p>
    <w:p>
      <w:pPr>
        <w:numPr>
          <w:ilvl w:val="0"/>
          <w:numId w:val="1001"/>
        </w:numPr>
        <w:pStyle w:val="Compact"/>
      </w:pPr>
      <w:r>
        <w:rPr>
          <w:bCs/>
          <w:b/>
        </w:rPr>
        <w:t xml:space="preserve">Compliance Risks:</w:t>
      </w:r>
      <w:r>
        <w:t xml:space="preserve"> Ensuring that every server complied with GDPR and local German cybersecurity laws was labor-intensive and prone to human error.</w:t>
      </w:r>
    </w:p>
    <w:p>
      <w:pPr>
        <w:numPr>
          <w:ilvl w:val="0"/>
          <w:numId w:val="1001"/>
        </w:numPr>
        <w:pStyle w:val="Compact"/>
      </w:pPr>
      <w:r>
        <w:rPr>
          <w:bCs/>
          <w:b/>
        </w:rPr>
        <w:t xml:space="preserve">Siloed Operations:</w:t>
      </w:r>
      <w:r>
        <w:t xml:space="preserve"> Developers and operations teams in the Munich office worked in silos, leading to miscommunication regarding infrastructure requirements.</w:t>
      </w:r>
    </w:p>
    <w:bookmarkEnd w:id="22"/>
    <w:bookmarkStart w:id="24" w:name="the-solution-implementing-chef"/>
    <w:p>
      <w:pPr>
        <w:pStyle w:val="Heading2"/>
      </w:pPr>
      <w:r>
        <w:t xml:space="preserve">4. The Solution: Implementing Chef</w:t>
      </w:r>
    </w:p>
    <w:p>
      <w:pPr>
        <w:pStyle w:val="FirstParagraph"/>
      </w:pPr>
      <w:r>
        <w:t xml:space="preserve">To address these challenges, TechNova Solutions selected</w:t>
      </w:r>
      <w:r>
        <w:t xml:space="preserve"> </w:t>
      </w:r>
      <w:r>
        <w:rPr>
          <w:bCs/>
          <w:b/>
        </w:rPr>
        <w:t xml:space="preserve">Chef</w:t>
      </w:r>
      <w:r>
        <w:t xml:space="preserve">, an open-source automation platform that enables organizations to express their infrastructure as code. The decision was driven by Chef’s mature ecosystem, strong support for Ruby-based domain-specific languages (DSLs), and its ability to integrate seamlessly with the DevOps workflows prevalent in the</w:t>
      </w:r>
      <w:r>
        <w:t xml:space="preserve"> </w:t>
      </w:r>
      <w:r>
        <w:t xml:space="preserve">Germany Munich</w:t>
      </w:r>
      <w:r>
        <w:t xml:space="preserve"> </w:t>
      </w:r>
      <w:r>
        <w:t xml:space="preserve">tech community.</w:t>
      </w:r>
    </w:p>
    <w:bookmarkStart w:id="23" w:name="strategy-overview"/>
    <w:p>
      <w:pPr>
        <w:pStyle w:val="Heading3"/>
      </w:pPr>
      <w:r>
        <w:t xml:space="preserve">4.1 Strategy Overview</w:t>
      </w:r>
    </w:p>
    <w:p>
      <w:pPr>
        <w:pStyle w:val="FirstParagraph"/>
      </w:pPr>
      <w:r>
        <w:t xml:space="preserve">The implementation of</w:t>
      </w:r>
      <w:r>
        <w:t xml:space="preserve"> </w:t>
      </w:r>
      <w:r>
        <w:rPr>
          <w:iCs/>
          <w:i/>
        </w:rPr>
        <w:t xml:space="preserve">Chef</w:t>
      </w:r>
      <w:r>
        <w:t xml:space="preserve"> </w:t>
      </w:r>
      <w:r>
        <w:t xml:space="preserve">followed a phased approach:</w:t>
      </w:r>
    </w:p>
    <w:p>
      <w:pPr>
        <w:numPr>
          <w:ilvl w:val="0"/>
          <w:numId w:val="1002"/>
        </w:numPr>
        <w:pStyle w:val="Compact"/>
      </w:pPr>
      <w:r>
        <w:rPr>
          <w:bCs/>
          <w:b/>
        </w:rPr>
        <w:t xml:space="preserve">Audit and Planning:</w:t>
      </w:r>
      <w:r>
        <w:t xml:space="preserve"> The IT team mapped out existing infrastructure dependencies in the Munich data center.</w:t>
      </w:r>
    </w:p>
    <w:p>
      <w:pPr>
        <w:numPr>
          <w:ilvl w:val="0"/>
          <w:numId w:val="1002"/>
        </w:numPr>
        <w:pStyle w:val="Compact"/>
      </w:pPr>
      <w:r>
        <w:rPr>
          <w:bCs/>
          <w:b/>
        </w:rPr>
        <w:t xml:space="preserve">Cookbook Development:</w:t>
      </w:r>
      <w:r>
        <w:t xml:space="preserve"> Senior engineers began writing custom cookbooks to automate the configuration of web servers, databases, and load balancers.</w:t>
      </w:r>
    </w:p>
    <w:p>
      <w:pPr>
        <w:numPr>
          <w:ilvl w:val="0"/>
          <w:numId w:val="1002"/>
        </w:numPr>
        <w:pStyle w:val="Compact"/>
      </w:pPr>
      <w:r>
        <w:rPr>
          <w:bCs/>
          <w:b/>
        </w:rPr>
        <w:t xml:space="preserve">Integration with CI/CD:</w:t>
      </w:r>
      <w:r>
        <w:t xml:space="preserve"> </w:t>
      </w:r>
      <w:r>
        <w:rPr>
          <w:iCs/>
          <w:i/>
        </w:rPr>
        <w:t xml:space="preserve">Chef</w:t>
      </w:r>
      <w:r>
        <w:t xml:space="preserve"> </w:t>
      </w:r>
      <w:r>
        <w:t xml:space="preserve">was integrated into their Jenkins pipeline, allowing infrastructure changes to be tested alongside application code.</w:t>
      </w:r>
    </w:p>
    <w:p>
      <w:pPr>
        <w:numPr>
          <w:ilvl w:val="0"/>
          <w:numId w:val="1002"/>
        </w:numPr>
        <w:pStyle w:val="Compact"/>
      </w:pPr>
      <w:r>
        <w:rPr>
          <w:bCs/>
          <w:b/>
        </w:rPr>
        <w:t xml:space="preserve">Talent Training:</w:t>
      </w:r>
      <w:r>
        <w:t xml:space="preserve"> Staff in</w:t>
      </w:r>
      <w:r>
        <w:t xml:space="preserve"> </w:t>
      </w:r>
      <w:r>
        <w:t xml:space="preserve">Germany Munich</w:t>
      </w:r>
      <w:r>
        <w:t xml:space="preserve"> </w:t>
      </w:r>
      <w:r>
        <w:t xml:space="preserve">underwent intensive training to master Chef InSpec for compliance testing and Chef Infra Server management.</w:t>
      </w:r>
    </w:p>
    <w:bookmarkEnd w:id="23"/>
    <w:bookmarkEnd w:id="24"/>
    <w:bookmarkStart w:id="26" w:name="implementation-details"/>
    <w:p>
      <w:pPr>
        <w:pStyle w:val="Heading2"/>
      </w:pPr>
      <w:r>
        <w:t xml:space="preserve">5. Implementation Details</w:t>
      </w:r>
    </w:p>
    <w:p>
      <w:pPr>
        <w:pStyle w:val="FirstParagraph"/>
      </w:pPr>
      <w:r>
        <w:t xml:space="preserve">The core of the</w:t>
      </w:r>
      <w:r>
        <w:t xml:space="preserve"> </w:t>
      </w:r>
      <w:r>
        <w:rPr>
          <w:iCs/>
          <w:i/>
        </w:rPr>
        <w:t xml:space="preserve">Chef</w:t>
      </w:r>
      <w:r>
        <w:t xml:space="preserve"> </w:t>
      </w:r>
      <w:r>
        <w:t xml:space="preserve">implementation revolved around the concept of "Cookbooks." These were reusable units of policy that encapsulated knowledge about how to manage specific resources. For example, a "Database Cookbook" ensured that all MySQL instances in</w:t>
      </w:r>
      <w:r>
        <w:t xml:space="preserve"> </w:t>
      </w:r>
      <w:r>
        <w:rPr>
          <w:bCs/>
          <w:b/>
        </w:rPr>
        <w:t xml:space="preserve">Germany Munich</w:t>
      </w:r>
      <w:r>
        <w:t xml:space="preserve"> </w:t>
      </w:r>
      <w:r>
        <w:t xml:space="preserve">were configured with the same encryption standards required by local laws.</w:t>
      </w:r>
    </w:p>
    <w:p>
      <w:pPr>
        <w:pStyle w:val="BodyText"/>
      </w:pPr>
      <w:r>
        <w:t xml:space="preserve">A critical component was the use of</w:t>
      </w:r>
      <w:r>
        <w:t xml:space="preserve"> </w:t>
      </w:r>
      <w:r>
        <w:rPr>
          <w:bCs/>
          <w:b/>
        </w:rPr>
        <w:t xml:space="preserve">Chef InSpec</w:t>
      </w:r>
      <w:r>
        <w:t xml:space="preserve">. This compliance framework allowed TechNova to write tests in simple Ruby syntax that verified whether systems were in a desired state. For instance, they could automatically verify if firewalls in their Munich data center blocked unauthorized ports. If a server drifted from the desired state,</w:t>
      </w:r>
      <w:r>
        <w:t xml:space="preserve"> </w:t>
      </w:r>
      <w:r>
        <w:rPr>
          <w:iCs/>
          <w:i/>
        </w:rPr>
        <w:t xml:space="preserve">Chef</w:t>
      </w:r>
      <w:r>
        <w:t xml:space="preserve"> </w:t>
      </w:r>
      <w:r>
        <w:t xml:space="preserve">would automatically remediate the issue or flag it for immediate attention.</w:t>
      </w:r>
    </w:p>
    <w:p>
      <w:pPr>
        <w:pStyle w:val="BodyText"/>
      </w:pPr>
    </w:p>
    <w:bookmarkStart w:id="25" w:name="the-role-of-chef-in-germany-munich"/>
    <w:p>
      <w:pPr>
        <w:pStyle w:val="Heading3"/>
      </w:pPr>
      <w:r>
        <w:t xml:space="preserve">The Role of Chef in Germany Munich</w:t>
      </w:r>
    </w:p>
    <w:p>
      <w:pPr>
        <w:pStyle w:val="FirstParagraph"/>
      </w:pPr>
      <w:r>
        <w:t xml:space="preserve">In the context of operating in</w:t>
      </w:r>
      <w:r>
        <w:t xml:space="preserve"> </w:t>
      </w:r>
      <w:r>
        <w:t xml:space="preserve">Germany Munich</w:t>
      </w:r>
      <w:r>
        <w:t xml:space="preserve">, data sovereignty was paramount. By using</w:t>
      </w:r>
      <w:r>
        <w:t xml:space="preserve"> </w:t>
      </w:r>
      <w:r>
        <w:rPr>
          <w:iCs/>
          <w:i/>
        </w:rPr>
        <w:t xml:space="preserve">Chef</w:t>
      </w:r>
      <w:r>
        <w:t xml:space="preserve">, TechNova ensured that all infrastructure code explicitly defined where data resided. This meant that automated deployments could be restricted to specific availability zones within Germany, ensuring full compliance with GDPR without manual intervention.</w:t>
      </w:r>
    </w:p>
    <w:bookmarkEnd w:id="25"/>
    <w:bookmarkEnd w:id="26"/>
    <w:bookmarkStart w:id="28" w:name="results-and-benefits"/>
    <w:p>
      <w:pPr>
        <w:pStyle w:val="Heading2"/>
      </w:pPr>
      <w:r>
        <w:t xml:space="preserve">6. Results and Benefits</w:t>
      </w:r>
    </w:p>
    <w:p>
      <w:pPr>
        <w:pStyle w:val="FirstParagraph"/>
      </w:pPr>
      <w:r>
        <w:t xml:space="preserve">Six months after the full deployment of</w:t>
      </w:r>
      <w:r>
        <w:t xml:space="preserve"> </w:t>
      </w:r>
      <w:r>
        <w:rPr>
          <w:bCs/>
          <w:b/>
        </w:rPr>
        <w:t xml:space="preserve">Chef</w:t>
      </w:r>
      <w:r>
        <w:t xml:space="preserve">, TechNova Solutions reported significant improvements in their operational metrics:</w:t>
      </w:r>
    </w:p>
    <w:bookmarkStart w:id="27" w:name="section"/>
    <w:p>
      <w:pPr>
        <w:pStyle w:val="Heading3"/>
      </w:pPr>
    </w:p>
    <w:p>
      <w:pPr>
        <w:numPr>
          <w:ilvl w:val="0"/>
          <w:numId w:val="1003"/>
        </w:numPr>
        <w:pStyle w:val="Compact"/>
      </w:pPr>
      <w:r>
        <w:rPr>
          <w:bCs/>
          <w:b/>
        </w:rPr>
        <w:t xml:space="preserve">Reduced Deployment Time:</w:t>
      </w:r>
      <w:r>
        <w:t xml:space="preserve"> Server provisioning time dropped from 4 hours to approximately 15 minutes. This agility allowed the team in</w:t>
      </w:r>
      <w:r>
        <w:t xml:space="preserve"> </w:t>
      </w:r>
      <w:r>
        <w:t xml:space="preserve">Germany Munich</w:t>
      </w:r>
      <w:r>
        <w:t xml:space="preserve"> </w:t>
      </w:r>
      <w:r>
        <w:t xml:space="preserve">to respond rapidly to market demands.</w:t>
      </w:r>
    </w:p>
    <w:p>
      <w:pPr>
        <w:numPr>
          <w:ilvl w:val="0"/>
          <w:numId w:val="1003"/>
        </w:numPr>
        <w:pStyle w:val="Compact"/>
      </w:pPr>
      <w:r>
        <w:rPr>
          <w:bCs/>
          <w:b/>
        </w:rPr>
        <w:t xml:space="preserve">Enhanced Compliance:</w:t>
      </w:r>
      <w:r>
        <w:t xml:space="preserve"> Compliance audits, which previously took weeks, were reduced to days. Chef InSpec provided real-time reporting on the compliance status of all infrastructure across Europe.</w:t>
      </w:r>
    </w:p>
    <w:p>
      <w:pPr>
        <w:numPr>
          <w:ilvl w:val="0"/>
          <w:numId w:val="1003"/>
        </w:numPr>
        <w:pStyle w:val="Compact"/>
      </w:pPr>
      <w:r>
        <w:rPr>
          <w:bCs/>
          <w:b/>
        </w:rPr>
        <w:t xml:space="preserve">Error Reduction:</w:t>
      </w:r>
      <w:r>
        <w:t xml:space="preserve"> Configuration drift was virtually eliminated. The consistency ensured by</w:t>
      </w:r>
      <w:r>
        <w:t xml:space="preserve"> </w:t>
      </w:r>
      <w:r>
        <w:rPr>
          <w:iCs/>
          <w:i/>
        </w:rPr>
        <w:t xml:space="preserve">Chef</w:t>
      </w:r>
      <w:r>
        <w:t xml:space="preserve"> </w:t>
      </w:r>
      <w:r>
        <w:t xml:space="preserve">meant that environment-related bugs decreased by 80%.</w:t>
      </w:r>
    </w:p>
    <w:p>
      <w:pPr>
        <w:numPr>
          <w:ilvl w:val="0"/>
          <w:numId w:val="1003"/>
        </w:numPr>
        <w:pStyle w:val="Compact"/>
      </w:pPr>
      <w:r>
        <w:rPr>
          <w:bCs/>
          <w:b/>
        </w:rPr>
        <w:t xml:space="preserve">Improved Collaboration:</w:t>
      </w:r>
      <w:r>
        <w:t xml:space="preserve"> The use of code for infrastructure bridged the gap between developers and ops teams in Munich, fostering a true DevOps culture.</w:t>
      </w:r>
    </w:p>
    <w:bookmarkEnd w:id="27"/>
    <w:bookmarkEnd w:id="28"/>
    <w:bookmarkStart w:id="29" w:name="challenges-encountered"/>
    <w:p>
      <w:pPr>
        <w:pStyle w:val="Heading2"/>
      </w:pPr>
      <w:r>
        <w:t xml:space="preserve">7. Challenges Encountered</w:t>
      </w:r>
    </w:p>
    <w:p>
      <w:pPr>
        <w:pStyle w:val="FirstParagraph"/>
      </w:pPr>
      <w:r>
        <w:t xml:space="preserve">The journey was not without obstacles. The learning curve for</w:t>
      </w:r>
      <w:r>
        <w:t xml:space="preserve"> </w:t>
      </w:r>
      <w:r>
        <w:rPr>
          <w:bCs/>
          <w:b/>
        </w:rPr>
        <w:t xml:space="preserve">Chef</w:t>
      </w:r>
      <w:r>
        <w:t xml:space="preserve">, particularly its Ruby-based DSL, was steep for team members accustomed to simpler scripting languages. Additionally, managing the</w:t>
      </w:r>
      <w:r>
        <w:t xml:space="preserve"> </w:t>
      </w:r>
      <w:r>
        <w:rPr>
          <w:iCs/>
          <w:i/>
        </w:rPr>
        <w:t xml:space="preserve">Chef</w:t>
      </w:r>
      <w:r>
        <w:t xml:space="preserve"> </w:t>
      </w:r>
      <w:r>
        <w:t xml:space="preserve">server infrastructure itself required dedicated resources in the</w:t>
      </w:r>
      <w:r>
        <w:t xml:space="preserve"> </w:t>
      </w:r>
      <w:r>
        <w:t xml:space="preserve">Germany Munich</w:t>
      </w:r>
      <w:r>
        <w:t xml:space="preserve"> </w:t>
      </w:r>
      <w:r>
        <w:t xml:space="preserve">office.</w:t>
      </w:r>
    </w:p>
    <w:p>
      <w:pPr>
        <w:pStyle w:val="BodyText"/>
      </w:pPr>
      <w:r>
        <w:t xml:space="preserve">To mitigate these issues, TechNova invested heavily in training and created internal documentation specifically tailored to their use cases. They also adopted a "learn by doing" approach, encouraging engineers to contribute small cookbooks early in the process.</w:t>
      </w:r>
    </w:p>
    <w:bookmarkEnd w:id="29"/>
    <w:bookmarkStart w:id="30" w:name="conclusion"/>
    <w:p>
      <w:pPr>
        <w:pStyle w:val="Heading2"/>
      </w:pPr>
      <w:r>
        <w:t xml:space="preserve">8. Conclusion</w:t>
      </w:r>
    </w:p>
    <w:p>
      <w:pPr>
        <w:pStyle w:val="FirstParagraph"/>
      </w:pPr>
      <w:r>
        <w:t xml:space="preserve">The adoption of</w:t>
      </w:r>
      <w:r>
        <w:t xml:space="preserve"> </w:t>
      </w:r>
      <w:r>
        <w:rPr>
          <w:iCs/>
          <w:i/>
        </w:rPr>
        <w:t xml:space="preserve">Chef</w:t>
      </w:r>
      <w:r>
        <w:t xml:space="preserve"> </w:t>
      </w:r>
      <w:r>
        <w:t xml:space="preserve">at TechNova Solutions demonstrates the power of Infrastructure as Code in meeting the complex demands of modern enterprise IT, particularly within a regulated environment like</w:t>
      </w:r>
      <w:r>
        <w:t xml:space="preserve"> </w:t>
      </w:r>
      <w:r>
        <w:rPr>
          <w:bCs/>
          <w:b/>
        </w:rPr>
        <w:t xml:space="preserve">Germany Munich</w:t>
      </w:r>
      <w:r>
        <w:t xml:space="preserve">. By leveraging Chef’s automation capabilities, the company not only improved efficiency and reduced costs but also ensured robust compliance with European data laws.</w:t>
      </w:r>
    </w:p>
    <w:p>
      <w:pPr>
        <w:pStyle w:val="BodyText"/>
      </w:pPr>
      <w:r>
        <w:t xml:space="preserve">This case study serves as a blueprint for other organizations in</w:t>
      </w:r>
      <w:r>
        <w:t xml:space="preserve"> </w:t>
      </w:r>
      <w:r>
        <w:t xml:space="preserve">Germany Munich</w:t>
      </w:r>
      <w:r>
        <w:t xml:space="preserve"> </w:t>
      </w:r>
      <w:r>
        <w:t xml:space="preserve">seeking to modernize their infrastructure. It highlights that while the initial investment in learning and implementing</w:t>
      </w:r>
      <w:r>
        <w:t xml:space="preserve"> </w:t>
      </w:r>
      <w:r>
        <w:rPr>
          <w:iCs/>
          <w:i/>
        </w:rPr>
        <w:t xml:space="preserve">Chef</w:t>
      </w:r>
      <w:r>
        <w:t xml:space="preserve"> </w:t>
      </w:r>
      <w:r>
        <w:t xml:space="preserve">is significant, the long-term benefits of consistency, speed, and compliance make it a worthwhile strategic decision.</w:t>
      </w:r>
    </w:p>
    <w:p>
      <w:pPr>
        <w:pStyle w:val="BodyText"/>
      </w:pPr>
      <w:r>
        <w:rPr>
          <w:iCs/>
          <w:i/>
          <w:bCs/>
          <w:b/>
        </w:rPr>
        <w:t xml:space="preserve">Chef</w:t>
      </w:r>
      <w:r>
        <w:t xml:space="preserve"> has proven to be more than just a tool; it has become an integral part of TechNova’s operational DNA in</w:t>
      </w:r>
      <w:r>
        <w:t xml:space="preserve"> </w:t>
      </w:r>
      <w:r>
        <w:rPr>
          <w:bCs/>
          <w:b/>
        </w:rPr>
        <w:t xml:space="preserve">Germany Munich</w:t>
      </w:r>
      <w:r>
        <w:t xml:space="preserve">, enabling them to innovate faster while maintaining the highest standards of reliability and security.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 Germany Munich</dc:title>
  <dc:creator/>
  <dc:language>en</dc:language>
  <cp:keywords/>
  <dcterms:created xsi:type="dcterms:W3CDTF">2026-07-29T09:41:57Z</dcterms:created>
  <dcterms:modified xsi:type="dcterms:W3CDTF">2026-07-29T09:41:57Z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