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Chef</w:t>
      </w:r>
      <w:r>
        <w:t xml:space="preserve"> </w:t>
      </w:r>
      <w:r>
        <w:t xml:space="preserve">Automation</w:t>
      </w:r>
      <w:r>
        <w:t xml:space="preserve"> </w:t>
      </w:r>
      <w:r>
        <w:t xml:space="preserve">in</w:t>
      </w:r>
      <w:r>
        <w:t xml:space="preserve"> </w:t>
      </w:r>
      <w:r>
        <w:t xml:space="preserve">Russia</w:t>
      </w:r>
      <w:r>
        <w:t xml:space="preserve"> </w:t>
      </w:r>
      <w:r>
        <w:t xml:space="preserve">Moscow</w:t>
      </w:r>
      <w:r>
        <w:t xml:space="preserve"> </w:t>
      </w:r>
      <w:r>
        <w:t xml:space="preserve">Enterprise</w:t>
      </w:r>
      <w:r>
        <w:t xml:space="preserve"> </w:t>
      </w:r>
      <w:r>
        <w:t xml:space="preserve">Infrastructure</w:t>
      </w:r>
    </w:p>
    <w:bookmarkStart w:id="34" w:name="X480eb544fe2b926a24fd6914c8e208557041821"/>
    <w:p>
      <w:pPr>
        <w:pStyle w:val="Heading1"/>
      </w:pPr>
      <w:r>
        <w:t xml:space="preserve">Case Study: Modernizing Infrastructure in Russia Moscow Using Chef</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Contact Region:</w:t>
      </w:r>
      <w:r>
        <w:t xml:space="preserve"> Russia, Moscow</w:t>
      </w:r>
    </w:p>
    <w:bookmarkStart w:id="20" w:name="executive-summary"/>
    <w:p>
      <w:pPr>
        <w:pStyle w:val="Heading2"/>
      </w:pPr>
      <w:r>
        <w:t xml:space="preserve">Executive Summary</w:t>
      </w:r>
    </w:p>
    <w:p>
      <w:pPr>
        <w:pStyle w:val="FirstParagraph"/>
      </w:pPr>
      <w:r>
        <w:t xml:space="preserve">In the rapidly evolving landscape of enterprise technology, the ability to manage infrastructure as code (IaC) is paramount. This case study details how a major financial services consortium headquartered in</w:t>
      </w:r>
      <w:r>
        <w:t xml:space="preserve"> </w:t>
      </w:r>
      <w:r>
        <w:rPr>
          <w:bCs/>
          <w:b/>
        </w:rPr>
        <w:t xml:space="preserve">Russia Moscow</w:t>
      </w:r>
      <w:r>
        <w:t xml:space="preserve"> </w:t>
      </w:r>
      <w:r>
        <w:t xml:space="preserve">successfully migrated from legacy manual server provisioning to an automated configuration management system using</w:t>
      </w:r>
      <w:r>
        <w:t xml:space="preserve"> </w:t>
      </w:r>
      <w:r>
        <w:rPr>
          <w:bCs/>
          <w:b/>
        </w:rPr>
        <w:t xml:space="preserve">Chef</w:t>
      </w:r>
      <w:r>
        <w:t xml:space="preserve">. The primary goal was to enhance stability, accelerate deployment cycles, and ensure compliance within the strict regulatory environment of the Russian Federation.</w:t>
      </w:r>
    </w:p>
    <w:bookmarkEnd w:id="20"/>
    <w:bookmarkStart w:id="21" w:name="the-challenge"/>
    <w:p>
      <w:pPr>
        <w:pStyle w:val="Heading2"/>
      </w:pPr>
      <w:r>
        <w:t xml:space="preserve">The Challenge</w:t>
      </w:r>
    </w:p>
    <w:p>
      <w:pPr>
        <w:pStyle w:val="FirstParagraph"/>
      </w:pPr>
      <w:r>
        <w:t xml:space="preserve">The client, a leading banking institution based in</w:t>
      </w:r>
      <w:r>
        <w:t xml:space="preserve"> </w:t>
      </w:r>
      <w:r>
        <w:rPr>
          <w:bCs/>
          <w:b/>
        </w:rPr>
        <w:t xml:space="preserve">Russia Moscow</w:t>
      </w:r>
      <w:r>
        <w:t xml:space="preserve">, faced significant operational hurdles. Their infrastructure consisted of over 500 physical and virtual servers spread across multiple data centers in and around</w:t>
      </w:r>
      <w:r>
        <w:t xml:space="preserve"> </w:t>
      </w:r>
      <w:r>
        <w:rPr>
          <w:bCs/>
          <w:b/>
        </w:rPr>
        <w:t xml:space="preserve">Russia Moscow</w:t>
      </w:r>
      <w:r>
        <w:t xml:space="preserve">. The traditional method of managing these servers involved manual configuration by sysadmins, which led to several critical issues:</w:t>
      </w:r>
    </w:p>
    <w:p>
      <w:pPr>
        <w:numPr>
          <w:ilvl w:val="0"/>
          <w:numId w:val="1001"/>
        </w:numPr>
        <w:pStyle w:val="Compact"/>
      </w:pPr>
      <w:r>
        <w:rPr>
          <w:bCs/>
          <w:b/>
        </w:rPr>
        <w:t xml:space="preserve">Inconsistency:</w:t>
      </w:r>
      <w:r>
        <w:t xml:space="preserve"> </w:t>
      </w:r>
      <w:r>
        <w:t xml:space="preserve">"Configuration drift" occurred frequently, where development environments differed slightly from production environments due to manual patching and setup variations.</w:t>
      </w:r>
    </w:p>
    <w:p>
      <w:pPr>
        <w:numPr>
          <w:ilvl w:val="0"/>
          <w:numId w:val="1001"/>
        </w:numPr>
        <w:pStyle w:val="Compact"/>
      </w:pPr>
      <w:r>
        <w:rPr>
          <w:bCs/>
          <w:b/>
        </w:rPr>
        <w:t xml:space="preserve">Slow Deployment Times:</w:t>
      </w:r>
      <w:r>
        <w:t xml:space="preserve"> </w:t>
      </w:r>
      <w:r>
        <w:t xml:space="preserve">Provisioning a new server environment took an average of 3-5 days, hindering the bank's ability to respond quickly to market demands.</w:t>
      </w:r>
    </w:p>
    <w:p>
      <w:pPr>
        <w:numPr>
          <w:ilvl w:val="0"/>
          <w:numId w:val="1001"/>
        </w:numPr>
        <w:pStyle w:val="Compact"/>
      </w:pPr>
      <w:r>
        <w:rPr>
          <w:bCs/>
          <w:b/>
        </w:rPr>
        <w:t xml:space="preserve">Compliance Risks:</w:t>
      </w:r>
      <w:r>
        <w:t xml:space="preserve"> Russia Moscow-based financial institutions are subject to stringent data sovereignty and security laws. Manual processes made it difficult to audit changes and prove compliance consistently.</w:t>
      </w:r>
    </w:p>
    <w:p>
      <w:pPr>
        <w:numPr>
          <w:ilvl w:val="0"/>
          <w:numId w:val="1001"/>
        </w:numPr>
        <w:pStyle w:val="Compact"/>
      </w:pPr>
      <w:r>
        <w:rPr>
          <w:bCs/>
          <w:b/>
        </w:rPr>
        <w:t xml:space="preserve">Skill Gaps:</w:t>
      </w:r>
      <w:r>
        <w:t xml:space="preserve"> High turnover in IT staff meant that tribal knowledge was lost, making it hard for new employees to understand the complex server configurations without extensive documentation.</w:t>
      </w:r>
    </w:p>
    <w:bookmarkEnd w:id="21"/>
    <w:bookmarkStart w:id="25" w:name="the-solution-adoption-of-chef"/>
    <w:p>
      <w:pPr>
        <w:pStyle w:val="Heading2"/>
      </w:pPr>
      <w:r>
        <w:t xml:space="preserve">The Solution: Adoption of Chef</w:t>
      </w:r>
    </w:p>
    <w:p>
      <w:pPr>
        <w:pStyle w:val="FirstParagraph"/>
      </w:pPr>
      <w:r>
        <w:t xml:space="preserve">To address these challenges, the CIO of the</w:t>
      </w:r>
      <w:r>
        <w:t xml:space="preserve"> </w:t>
      </w:r>
      <w:r>
        <w:rPr>
          <w:bCs/>
          <w:b/>
        </w:rPr>
        <w:t xml:space="preserve">Russia Moscow</w:t>
      </w:r>
      <w:r>
        <w:t xml:space="preserve"> branch decided to implement</w:t>
      </w:r>
      <w:r>
        <w:t xml:space="preserve"> </w:t>
      </w:r>
      <w:r>
        <w:rPr>
          <w:bCs/>
          <w:b/>
        </w:rPr>
        <w:t xml:space="preserve">Chef</w:t>
      </w:r>
      <w:r>
        <w:t xml:space="preserve">, an industry-leading automation platform. The decision was driven by Chef's robust community support, its Ruby-based DSL (Domain Specific Language) which allowed for expressive code, and its ability to scale effectively.</w:t>
      </w:r>
    </w:p>
    <w:bookmarkStart w:id="22" w:name="infrastructure-as-code-implementation"/>
    <w:p>
      <w:pPr>
        <w:pStyle w:val="Heading3"/>
      </w:pPr>
      <w:r>
        <w:t xml:space="preserve">1. Infrastructure as Code Implementation</w:t>
      </w:r>
    </w:p>
    <w:p>
      <w:pPr>
        <w:pStyle w:val="FirstParagraph"/>
      </w:pPr>
      <w:r>
        <w:t xml:space="preserve">The engineering team began refactoring their infrastructure definitions into</w:t>
      </w:r>
      <w:r>
        <w:t xml:space="preserve"> </w:t>
      </w:r>
      <w:r>
        <w:rPr>
          <w:bCs/>
          <w:b/>
        </w:rPr>
        <w:t xml:space="preserve">Chef</w:t>
      </w:r>
      <w:r>
        <w:t xml:space="preserve"> cookbooks and recipes. Each server role (e.g., web server, database backend, application frontend) was codified into reusable modules. This approach ensured that the definition of the desired state was stored in version control (Git), allowing for precise tracking of changes.</w:t>
      </w:r>
    </w:p>
    <w:bookmarkEnd w:id="22"/>
    <w:bookmarkStart w:id="23" w:name="centralized-management-hub"/>
    <w:p>
      <w:pPr>
        <w:pStyle w:val="Heading3"/>
      </w:pPr>
      <w:r>
        <w:t xml:space="preserve">2. Centralized Management Hub</w:t>
      </w:r>
    </w:p>
    <w:p>
      <w:pPr>
        <w:pStyle w:val="FirstParagraph"/>
      </w:pPr>
      <w:r>
        <w:t xml:space="preserve">A</w:t>
      </w:r>
      <w:r>
        <w:t xml:space="preserve"> </w:t>
      </w:r>
      <w:r>
        <w:rPr>
          <w:bCs/>
          <w:b/>
        </w:rPr>
        <w:t xml:space="preserve">Chef Server</w:t>
      </w:r>
      <w:r>
        <w:t xml:space="preserve"> was deployed within a secure, air-gapped network segment in their primary data center in</w:t>
      </w:r>
      <w:r>
        <w:t xml:space="preserve"> </w:t>
      </w:r>
      <w:r>
        <w:rPr>
          <w:bCs/>
          <w:b/>
        </w:rPr>
        <w:t xml:space="preserve">Russia Moscow</w:t>
      </w:r>
      <w:r>
        <w:t xml:space="preserve">. This server acted as the single source of truth, managing node configurations and distributing code updates. By keeping the infrastructure localized to</w:t>
      </w:r>
      <w:r>
        <w:t xml:space="preserve"> </w:t>
      </w:r>
      <w:r>
        <w:rPr>
          <w:bCs/>
          <w:b/>
        </w:rPr>
        <w:t xml:space="preserve">Russia Moscow</w:t>
      </w:r>
      <w:r>
        <w:t xml:space="preserve">, the company ensured compliance with local data residency laws while leveraging Chef's global capabilities.</w:t>
      </w:r>
    </w:p>
    <w:bookmarkEnd w:id="23"/>
    <w:bookmarkStart w:id="24" w:name="custom-recipes-for-regulatory-compliance"/>
    <w:p>
      <w:pPr>
        <w:pStyle w:val="Heading3"/>
      </w:pPr>
      <w:r>
        <w:t xml:space="preserve">3. Custom Recipes for Regulatory Compliance</w:t>
      </w:r>
    </w:p>
    <w:p>
      <w:pPr>
        <w:pStyle w:val="FirstParagraph"/>
      </w:pPr>
      <w:r>
        <w:t xml:space="preserve">The team developed specific</w:t>
      </w:r>
      <w:r>
        <w:t xml:space="preserve"> </w:t>
      </w:r>
      <w:r>
        <w:rPr>
          <w:bCs/>
          <w:b/>
        </w:rPr>
        <w:t xml:space="preserve">Chef</w:t>
      </w:r>
      <w:r>
        <w:t xml:space="preserve"> recipes designed to enforce security baselines required by Russian financial regulators. These included automated checks for password complexity, encryption standards, and access logging. These recipes were executed on every converge cycle (update run), ensuring that any drift from the compliant state was immediately detected and corrected.</w:t>
      </w:r>
    </w:p>
    <w:bookmarkEnd w:id="24"/>
    <w:bookmarkEnd w:id="25"/>
    <w:bookmarkStart w:id="26" w:name="implementation-strategy"/>
    <w:p>
      <w:pPr>
        <w:pStyle w:val="Heading2"/>
      </w:pPr>
      <w:r>
        <w:t xml:space="preserve">Implementation Strategy</w:t>
      </w:r>
    </w:p>
    <w:p>
      <w:pPr>
        <w:pStyle w:val="FirstParagraph"/>
      </w:pPr>
      <w:r>
        <w:t xml:space="preserve">The migration to</w:t>
      </w:r>
      <w:r>
        <w:t xml:space="preserve"> </w:t>
      </w:r>
      <w:r>
        <w:rPr>
          <w:bCs/>
          <w:b/>
        </w:rPr>
        <w:t xml:space="preserve">Chef</w:t>
      </w:r>
      <w:r>
        <w:t xml:space="preserve"> was not instantaneous. It followed a phased approach:</w:t>
      </w:r>
    </w:p>
    <w:p>
      <w:pPr>
        <w:numPr>
          <w:ilvl w:val="0"/>
          <w:numId w:val="1002"/>
        </w:numPr>
        <w:pStyle w:val="Compact"/>
      </w:pPr>
      <w:r>
        <w:rPr>
          <w:bCs/>
          <w:b/>
        </w:rPr>
        <w:t xml:space="preserve">Phase 1: Pilot Program:</w:t>
      </w:r>
      <w:r>
        <w:t xml:space="preserve"> The team selected a non-critical application cluster for the initial rollout. This allowed them to test the</w:t>
      </w:r>
      <w:r>
        <w:t xml:space="preserve"> </w:t>
      </w:r>
      <w:r>
        <w:rPr>
          <w:bCs/>
          <w:b/>
        </w:rPr>
        <w:t xml:space="preserve">Chef</w:t>
      </w:r>
      <w:r>
        <w:t xml:space="preserve"> architecture and train staff in a low-risk environment.</w:t>
      </w:r>
    </w:p>
    <w:p>
      <w:pPr>
        <w:numPr>
          <w:ilvl w:val="0"/>
          <w:numId w:val="1002"/>
        </w:numPr>
        <w:pStyle w:val="Compact"/>
      </w:pPr>
      <w:r>
        <w:rPr>
          <w:bCs/>
          <w:b/>
        </w:rPr>
        <w:t xml:space="preserve">Phase 2: Core Infrastructure Migration:</w:t>
      </w:r>
      <w:r>
        <w:t xml:space="preserve"> Once stability was proven, they migrated core web servers and load balancers. Integration with their existing CI/CD pipelines was established to trigger</w:t>
      </w:r>
      <w:r>
        <w:t xml:space="preserve"> </w:t>
      </w:r>
      <w:r>
        <w:rPr>
          <w:bCs/>
          <w:b/>
        </w:rPr>
        <w:t xml:space="preserve">Chef</w:t>
      </w:r>
      <w:r>
        <w:t xml:space="preserve"> runs automatically upon code deployment.</w:t>
      </w:r>
    </w:p>
    <w:p>
      <w:pPr>
        <w:numPr>
          <w:ilvl w:val="0"/>
          <w:numId w:val="1002"/>
        </w:numPr>
        <w:pStyle w:val="Compact"/>
      </w:pPr>
      <w:r>
        <w:rPr>
          <w:bCs/>
          <w:b/>
        </w:rPr>
        <w:t xml:space="preserve">Phase 3: Full Scale Automation:</w:t>
      </w:r>
      <w:r>
        <w:t xml:space="preserve"> All remaining nodes, including database clusters in</w:t>
      </w:r>
      <w:r>
        <w:t xml:space="preserve"> </w:t>
      </w:r>
      <w:r>
        <w:rPr>
          <w:bCs/>
          <w:b/>
        </w:rPr>
        <w:t xml:space="preserve">Russia Moscow</w:t>
      </w:r>
      <w:r>
        <w:t xml:space="preserve">, were brought under</w:t>
      </w:r>
    </w:p>
    <w:p>
      <w:pPr>
        <w:numPr>
          <w:ilvl w:val="0"/>
          <w:numId w:val="1000"/>
        </w:numPr>
        <w:pStyle w:val="Compact"/>
      </w:pPr>
      <w:r>
        <w:t xml:space="preserve">Chef's management. Legacy manual scripts were decommissioned.</w:t>
      </w:r>
    </w:p>
    <w:bookmarkEnd w:id="26"/>
    <w:bookmarkStart w:id="31" w:name="results-and-benefits"/>
    <w:p>
      <w:pPr>
        <w:pStyle w:val="Heading2"/>
      </w:pPr>
      <w:r>
        <w:t xml:space="preserve">Results and Benefits</w:t>
      </w:r>
    </w:p>
    <w:p>
      <w:pPr>
        <w:pStyle w:val="FirstParagraph"/>
      </w:pPr>
      <w:r>
        <w:t xml:space="preserve">Six months after full implementation, the organization reported measurable improvements across key performance indicators:</w:t>
      </w:r>
    </w:p>
    <w:bookmarkStart w:id="27" w:name="dramatic-reduction-in-deployment-time"/>
    <w:p>
      <w:pPr>
        <w:pStyle w:val="Heading3"/>
      </w:pPr>
      <w:r>
        <w:t xml:space="preserve">Dramatic Reduction in Deployment Time</w:t>
      </w:r>
    </w:p>
    <w:p>
      <w:pPr>
        <w:pStyle w:val="FirstParagraph"/>
      </w:pPr>
      <w:r>
        <w:t xml:space="preserve">The time required to provision a new server environment dropped from 3-5 days to less than 45 minutes. This agility allowed the</w:t>
      </w:r>
      <w:r>
        <w:t xml:space="preserve"> </w:t>
      </w:r>
      <w:r>
        <w:rPr>
          <w:bCs/>
          <w:b/>
        </w:rPr>
        <w:t xml:space="preserve">Russia Moscow</w:t>
      </w:r>
      <w:r>
        <w:t xml:space="preserve"> branch to launch new digital banking features weeks ahead of schedule.</w:t>
      </w:r>
    </w:p>
    <w:bookmarkEnd w:id="27"/>
    <w:bookmarkStart w:id="28" w:name="enhanced-stability-and-reliability"/>
    <w:p>
      <w:pPr>
        <w:pStyle w:val="Heading3"/>
      </w:pPr>
      <w:r>
        <w:t xml:space="preserve">Enhanced Stability and Reliability</w:t>
      </w:r>
    </w:p>
    <w:p>
      <w:pPr>
        <w:pStyle w:val="FirstParagraph"/>
      </w:pPr>
      <w:r>
        <w:t xml:space="preserve">The elimination of configuration drift resulted in a 90% reduction in production incidents caused by environmental inconsistencies. The use of</w:t>
      </w:r>
      <w:r>
        <w:t xml:space="preserve"> </w:t>
      </w:r>
      <w:r>
        <w:rPr>
          <w:bCs/>
          <w:b/>
        </w:rPr>
        <w:t xml:space="preserve">Chef</w:t>
      </w:r>
      <w:r>
        <w:t xml:space="preserve">'s idempotent design ensured that servers converged to the correct state regardless of their previous condition.</w:t>
      </w:r>
    </w:p>
    <w:bookmarkEnd w:id="28"/>
    <w:bookmarkStart w:id="29" w:name="streamlined-compliance-and-auditing"/>
    <w:p>
      <w:pPr>
        <w:pStyle w:val="Heading3"/>
      </w:pPr>
      <w:r>
        <w:t xml:space="preserve">Streamlined Compliance and Auditing</w:t>
      </w:r>
    </w:p>
    <w:p>
      <w:pPr>
        <w:pStyle w:val="FirstParagraph"/>
      </w:pPr>
      <w:r>
        <w:t xml:space="preserve">Auditors found it significantly easier to verify compliance. Instead of interviewing individuals, they could review the</w:t>
      </w:r>
      <w:r>
        <w:t xml:space="preserve"> </w:t>
      </w:r>
      <w:r>
        <w:rPr>
          <w:bCs/>
          <w:b/>
        </w:rPr>
        <w:t xml:space="preserve">Chef</w:t>
      </w:r>
      <w:r>
        <w:t xml:space="preserve"> code repository and see exactly what security policies were enforced. This transparency was crucial for maintaining licenses to operate in the competitive</w:t>
      </w:r>
      <w:r>
        <w:t xml:space="preserve"> </w:t>
      </w:r>
      <w:r>
        <w:rPr>
          <w:bCs/>
          <w:b/>
        </w:rPr>
        <w:t xml:space="preserve">Russia Moscow</w:t>
      </w:r>
      <w:r>
        <w:t xml:space="preserve"> financial sector.</w:t>
      </w:r>
    </w:p>
    <w:bookmarkEnd w:id="29"/>
    <w:bookmarkStart w:id="30" w:name="improved-developer-productivity"/>
    <w:p>
      <w:pPr>
        <w:pStyle w:val="Heading3"/>
      </w:pPr>
      <w:r>
        <w:t xml:space="preserve">Improved Developer Productivity</w:t>
      </w:r>
    </w:p>
    <w:p>
      <w:pPr>
        <w:pStyle w:val="FirstParagraph"/>
      </w:pPr>
      <w:r>
        <w:t xml:space="preserve">Developers no longer needed to wait for sysadmins to configure test environments. By using</w:t>
      </w:r>
      <w:r>
        <w:t xml:space="preserve"> </w:t>
      </w:r>
      <w:r>
        <w:rPr>
          <w:bCs/>
          <w:b/>
        </w:rPr>
        <w:t xml:space="preserve">Chef</w:t>
      </w:r>
      <w:r>
        <w:t xml:space="preserve">, they could spin up local or cloud-based testing environments that mirrored production, accelerating the development lifecycle.</w:t>
      </w:r>
    </w:p>
    <w:bookmarkEnd w:id="30"/>
    <w:bookmarkEnd w:id="31"/>
    <w:bookmarkStart w:id="32" w:name="challenges-overcome"/>
    <w:p>
      <w:pPr>
        <w:pStyle w:val="Heading2"/>
      </w:pPr>
      <w:r>
        <w:t xml:space="preserve">Challenges Overcome</w:t>
      </w:r>
    </w:p>
    <w:p>
      <w:pPr>
        <w:pStyle w:val="FirstParagraph"/>
      </w:pPr>
      <w:r>
        <w:t xml:space="preserve">The journey was not without obstacles. The initial learning curve for Ruby-based</w:t>
      </w:r>
    </w:p>
    <w:p>
      <w:pPr>
        <w:pStyle w:val="BodyText"/>
      </w:pPr>
      <w:r>
        <w:t xml:space="preserve">Chef cookbooks was steep for some team members accustomed to simpler scripting languages. To mitigate this, the company invested heavily in training and hired a dedicated Chef Platform Engineer based in</w:t>
      </w:r>
      <w:r>
        <w:t xml:space="preserve"> </w:t>
      </w:r>
      <w:r>
        <w:rPr>
          <w:bCs/>
          <w:b/>
        </w:rPr>
        <w:t xml:space="preserve">Russia Moscow</w:t>
      </w:r>
      <w:r>
        <w:t xml:space="preserve"> </w:t>
      </w:r>
      <w:r>
        <w:t xml:space="preserve">to mentor the internal team. Additionally, managing cookbooks across different environments required strict version control practices, which were established through regular code reviews.</w:t>
      </w:r>
    </w:p>
    <w:bookmarkEnd w:id="32"/>
    <w:bookmarkStart w:id="33" w:name="conclusion"/>
    <w:p>
      <w:pPr>
        <w:pStyle w:val="Heading2"/>
      </w:pPr>
      <w:r>
        <w:t xml:space="preserve">Conclusion</w:t>
      </w:r>
    </w:p>
    <w:p>
      <w:pPr>
        <w:pStyle w:val="FirstParagraph"/>
      </w:pPr>
      <w:r>
        <w:t xml:space="preserve">The adoption of</w:t>
      </w:r>
    </w:p>
    <w:p>
      <w:pPr>
        <w:pStyle w:val="BodyText"/>
      </w:pPr>
      <w:r>
        <w:t xml:space="preserve">Chef has transformed the IT operations of this major financial institution in</w:t>
      </w:r>
      <w:r>
        <w:t xml:space="preserve"> </w:t>
      </w:r>
      <w:r>
        <w:rPr>
          <w:bCs/>
          <w:b/>
        </w:rPr>
        <w:t xml:space="preserve">Russia Moscow</w:t>
      </w:r>
      <w:r>
        <w:t xml:space="preserve">. By shifting from manual, error-prone processes to automated, code-driven infrastructure management, the organization has achieved greater speed, reliability, and compliance. This case study demonstrates that even in highly regulated markets like</w:t>
      </w:r>
      <w:r>
        <w:t xml:space="preserve"> </w:t>
      </w:r>
      <w:r>
        <w:rPr>
          <w:bCs/>
          <w:b/>
        </w:rPr>
        <w:t xml:space="preserve">Russia Moscow</w:t>
      </w:r>
      <w:r>
        <w:t xml:space="preserve">, modern automation tools like</w:t>
      </w:r>
    </w:p>
    <w:p>
      <w:pPr>
        <w:pStyle w:val="BodyText"/>
      </w:pPr>
      <w:r>
        <w:t xml:space="preserve">Chef can deliver significant business value when implemented with a strategic and phased approach.</w:t>
      </w:r>
    </w:p>
    <w:p>
      <w:pPr>
        <w:pStyle w:val="BodyText"/>
      </w:pPr>
      <w:r>
        <w:t xml:space="preserve">For enterprises considering similar transformations, the key takeaway is the importance of starting small, investing in training, and treating infrastructure configuration as software code. The result is a resilient, agile IT infrastructure capable of meeting the dynamic demands of today's digital economy.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Chef Automation in Russia Moscow Enterprise Infrastructure</dc:title>
  <dc:creator/>
  <dc:language>en</dc:language>
  <cp:keywords/>
  <dcterms:created xsi:type="dcterms:W3CDTF">2026-07-29T06:28:14Z</dcterms:created>
  <dcterms:modified xsi:type="dcterms:W3CDTF">2026-07-29T06:28:14Z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