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Australia,</w:t>
      </w:r>
      <w:r>
        <w:t xml:space="preserve"> </w:t>
      </w:r>
      <w:r>
        <w:t xml:space="preserve">Brisbane</w:t>
      </w:r>
    </w:p>
    <w:bookmarkStart w:id="29" w:name="X8983da02b14b75786de83245b673a1fb8fece30"/>
    <w:p>
      <w:pPr>
        <w:pStyle w:val="Heading1"/>
      </w:pPr>
      <w:r>
        <w:t xml:space="preserve">Case Study: Navigating Regulatory and Operational Challenges for a Chemist in Australia, Brisbane</w:t>
      </w:r>
    </w:p>
    <w:p>
      <w:pPr>
        <w:pStyle w:val="FirstParagraph"/>
      </w:pPr>
      <w:r>
        <w:rPr>
          <w:bCs/>
          <w:b/>
        </w:rPr>
        <w:t xml:space="preserve">Date:</w:t>
      </w:r>
      <w:r>
        <w:t xml:space="preserve"> </w:t>
      </w:r>
      <w:r>
        <w:t xml:space="preserve">October 2023</w:t>
      </w:r>
      <w:r>
        <w:br/>
      </w:r>
      <w:r>
        <w:rPr>
          <w:bCs/>
          <w:b/>
        </w:rPr>
        <w:t xml:space="preserve">Sector:r Pharmacy / Healthcare Retail</w:t>
      </w:r>
      <w:r>
        <w:br/>
      </w:r>
      <w:r>
        <w:rPr>
          <w:bCs/>
          <w:b/>
          <w:bCs/>
          <w:b/>
        </w:rPr>
        <w:t xml:space="preserve">Location:</w:t>
      </w:r>
      <w:r>
        <w:rPr>
          <w:bCs/>
          <w:b/>
        </w:rPr>
        <w:t xml:space="preserve"> </w:t>
      </w:r>
      <w:r>
        <w:rPr>
          <w:bCs/>
          <w:b/>
        </w:rPr>
        <w:t xml:space="preserve">Brisbane, Australia</w:t>
      </w:r>
      <w:r>
        <w:br/>
      </w:r>
    </w:p>
    <w:p>
      <w:pPr>
        <w:pStyle w:val="BodyText"/>
      </w:pPr>
      <w:r>
        <w:rPr>
          <w:iCs/>
          <w:i/>
        </w:rPr>
        <w:t xml:space="preserve">This document outlines the operational transformation of a community Chemist within the competitive landscape of Australia, specifically focusing on the unique regulatory and demographic challenges present in Brisbane.</w:t>
      </w:r>
    </w:p>
    <w:bookmarkStart w:id="20" w:name="executive-summary"/>
    <w:p>
      <w:pPr>
        <w:pStyle w:val="Heading2"/>
      </w:pPr>
      <w:r>
        <w:t xml:space="preserve">Executive Summary</w:t>
      </w:r>
    </w:p>
    <w:p>
      <w:pPr>
        <w:pStyle w:val="FirstParagraph"/>
      </w:pPr>
      <w:r>
        <w:t xml:space="preserve">The retail pharmacy sector in Australia is undergoing a significant paradigm shift. No longer confined to dispensing prescription medications, modern pharmacies are expected to serve as accessible primary healthcare hubs. This Case Study examines the strategic adaptation of "Brisbane Community Health Chemist," a mid-sized chain operating in the Brisbane metropolitan area. The analysis focuses on how this entity successfully integrated advanced digital health technologies, adapted to stringent Australian Therapeutic Goods Administration (TGA) regulations, and leveraged local demographic trends to maintain profitability and community relevance.</w:t>
      </w:r>
    </w:p>
    <w:bookmarkEnd w:id="20"/>
    <w:bookmarkStart w:id="21" w:name="background-and-context"/>
    <w:p>
      <w:pPr>
        <w:pStyle w:val="Heading2"/>
      </w:pPr>
      <w:r>
        <w:t xml:space="preserve">Background and Context</w:t>
      </w:r>
    </w:p>
    <w:p>
      <w:pPr>
        <w:pStyle w:val="FirstParagraph"/>
      </w:pPr>
      <w:r>
        <w:t xml:space="preserve">Brisbane, the capital of Queensland in Australia, presents a unique market environment. With a growing population driven by both domestic migration from other Australian states and international students arriving for education, the demand for healthcare services has surged. For any Chemist operating in this region, understanding these demographic shifts is critical. The traditional model of simply filling scripts has become unsustainable due to tight margins imposed by the Pharmaceutical Benefits Scheme (PBS) and increasing operational costs associated with complying with Australian health standards.</w:t>
      </w:r>
      <w:r>
        <w:t xml:space="preserve"> </w:t>
      </w:r>
      <w:r>
        <w:t xml:space="preserve">The subject of this Case Study, a fictionalized composite based on real-world challenges faced by multiple businesses in Australia, represents a typical independent-to-small-chain transition. Located in a high-density suburb of Brisbane such as Woolloongabba or Fortitude Valley, the Chemist faced declining foot traffic from younger demographics who viewed pharmacies merely as transactional spaces rather than healthcare providers. Furthermore, the rising cost of living in Brisbane had led to increased consumer sensitivity regarding out-of-pocket expenses for non-PBS items.</w:t>
      </w:r>
    </w:p>
    <w:bookmarkEnd w:id="21"/>
    <w:bookmarkStart w:id="22" w:name="problem-statement"/>
    <w:p>
      <w:pPr>
        <w:pStyle w:val="Heading2"/>
      </w:pPr>
      <w:r>
        <w:t xml:space="preserve">Problem Statement</w:t>
      </w:r>
    </w:p>
    <w:p>
      <w:pPr>
        <w:pStyle w:val="FirstParagraph"/>
      </w:pPr>
      <w:r>
        <w:t xml:space="preserve">The primary challenge identified was a disconnect between service provision and community needs. The Chemist struggled with three core issues:</w:t>
      </w:r>
      <w:r>
        <w:t xml:space="preserve"> </w:t>
      </w:r>
      <w:r>
        <w:t xml:space="preserve">1. **Regulatory Complexity:** Navigating the complex web of Australian federal and Queensland state regulations regarding medication safety, record-keeping, and controlled substances.</w:t>
      </w:r>
      <w:r>
        <w:t xml:space="preserve"> </w:t>
      </w:r>
      <w:r>
        <w:t xml:space="preserve">2. **Digital Integration:** Legacy systems were unable to integrate seamlessly with My Health Record or newer telehealth platforms prevalent in Australia today.</w:t>
      </w:r>
      <w:r>
        <w:t xml:space="preserve"> </w:t>
      </w:r>
      <w:r>
        <w:t xml:space="preserve">3. **Service Diversification:** Revenue was heavily reliant on prescription volume, which fluctuated due to government policy changes regarding the PBS co-payment structures across Australia.</w:t>
      </w:r>
    </w:p>
    <w:bookmarkEnd w:id="22"/>
    <w:bookmarkStart w:id="23" w:name="strategic-response"/>
    <w:p>
      <w:pPr>
        <w:pStyle w:val="Heading2"/>
      </w:pPr>
      <w:r>
        <w:t xml:space="preserve">Strategic Response</w:t>
      </w:r>
    </w:p>
    <w:p>
      <w:pPr>
        <w:pStyle w:val="FirstParagraph"/>
      </w:pPr>
      <w:r>
        <w:t xml:space="preserve">To address these challenges, the management of the Chemist in Brisbane implemented a three-pillar strategy centered on modernization, compliance automation, and expanded healthcare services.</w:t>
      </w:r>
      <w:r>
        <w:t xml:space="preserve"> </w:t>
      </w:r>
      <w:r>
        <w:t xml:space="preserve">### 1. Technology-Driven Compliance</w:t>
      </w:r>
      <w:r>
        <w:t xml:space="preserve"> </w:t>
      </w:r>
      <w:r>
        <w:t xml:space="preserve">In Australia, compliance is not optional; it is a legal necessity enforced by strict audits. The Chemist invested in cloud-based dispensing software that automatically updated with changes to the PBS and TGA guidelines. This ensured that every prescription filled adhered to current Australian law without manual intervention. By automating stock checks against controlled drug registers, the business reduced the risk of non-compliance fines and streamlined internal audits significantly.</w:t>
      </w:r>
      <w:r>
        <w:t xml:space="preserve"> </w:t>
      </w:r>
      <w:r>
        <w:t xml:space="preserve">### 2. Expansion into Preventative Healthcare</w:t>
      </w:r>
      <w:r>
        <w:t xml:space="preserve"> </w:t>
      </w:r>
      <w:r>
        <w:t xml:space="preserve">Recognizing that Brisbane residents are increasingly health-conscious due to the subtropical climate and active lifestyle culture, the Chemist expanded its service menu. This included launching localized vaccination clinics (flu and travel vaccinations), blood pressure monitoring stations, and smoking cessation programs tailored to local data. By positioning itself as a wellness partner rather than just a medicine dispenser, the Chemist attracted patients who might otherwise visit general practitioners for minor ailments.</w:t>
      </w:r>
      <w:r>
        <w:t xml:space="preserve"> </w:t>
      </w:r>
      <w:r>
        <w:t xml:space="preserve">### 3. Community Engagement in Brisbane</w:t>
      </w:r>
      <w:r>
        <w:t xml:space="preserve"> </w:t>
      </w:r>
      <w:r>
        <w:t xml:space="preserve">The business launched targeted community outreach programs specific to Brisbane’s diverse suburbs. This included multilingual support materials reflecting the city’s multicultural population and partnerships with local GP clinics to facilitate seamless referrals. The brand identity was re-aligned to emphasize trust, accessibility, and Australian-based care standards.</w:t>
      </w:r>
    </w:p>
    <w:bookmarkEnd w:id="23"/>
    <w:bookmarkStart w:id="24" w:name="implementation-phase"/>
    <w:p>
      <w:pPr>
        <w:pStyle w:val="Heading2"/>
      </w:pPr>
      <w:r>
        <w:t xml:space="preserve">Implementation Phase</w:t>
      </w:r>
    </w:p>
    <w:p>
      <w:pPr>
        <w:pStyle w:val="FirstParagraph"/>
      </w:pPr>
      <w:r>
        <w:t xml:space="preserve">The transition required significant training for staff to adopt new clinical protocols. Pharmacists underwent continuous professional development (CPD) courses accredited by the Pharmacy Board of Australia to ensure they were qualified to provide expanded services such as prescription renewal and minor ailment prescribing where permitted in Queensland.</w:t>
      </w:r>
      <w:r>
        <w:t xml:space="preserve"> </w:t>
      </w:r>
      <w:r>
        <w:t xml:space="preserve">Furthermore, the physical layout of the Chemist was redesigned. The counter area was reduced to accommodate private consultation rooms, a requirement for conducting sensitive health assessments while maintaining patient confidentiality in line with Australian privacy laws (the Privacy Act 1988).</w:t>
      </w:r>
    </w:p>
    <w:bookmarkEnd w:id="24"/>
    <w:bookmarkStart w:id="25" w:name="results-and-impact"/>
    <w:p>
      <w:pPr>
        <w:pStyle w:val="Heading2"/>
      </w:pPr>
      <w:r>
        <w:t xml:space="preserve">Results and Impact</w:t>
      </w:r>
    </w:p>
    <w:p>
      <w:pPr>
        <w:pStyle w:val="FirstParagraph"/>
      </w:pPr>
      <w:r>
        <w:t xml:space="preserve">Within eighteen months of implementation, the Chemist reported measurable improvements across key performance indicators:</w:t>
      </w:r>
      <w:r>
        <w:t xml:space="preserve"> </w:t>
      </w:r>
      <w:r>
        <w:t xml:space="preserve">* **Revenue Growth:** Non-PBS revenue increased by 35%. This shift reduced reliance on government-subsidized scripts and improved overall margin stability.</w:t>
      </w:r>
      <w:r>
        <w:t xml:space="preserve"> </w:t>
      </w:r>
      <w:r>
        <w:t xml:space="preserve">* **Customer Retention:** Patient retention rates rose by 20%, driven by the personalized care plans and preventative health checks offered.</w:t>
      </w:r>
      <w:r>
        <w:t xml:space="preserve"> </w:t>
      </w:r>
      <w:r>
        <w:t xml:space="preserve">* **Operational Efficiency: Automation of compliance tasks reduced administrative workload by 15 hours per week per pharmacy technician, allowing staff to focus on patient interaction rather than paperwork.</w:t>
      </w:r>
      <w:r>
        <w:t xml:space="preserve"> </w:t>
      </w:r>
      <w:r>
        <w:t xml:space="preserve">* **Community Trust:** Surveys indicated that local residents in Brisbane viewed the Chemist as a trusted healthcare partner, with a Net Promoter Score (NPS) rising from 45 to 72.</w:t>
      </w:r>
    </w:p>
    <w:bookmarkEnd w:id="25"/>
    <w:bookmarkStart w:id="26" w:name="lessons-learned"/>
    <w:p>
      <w:pPr>
        <w:pStyle w:val="Heading2"/>
      </w:pPr>
      <w:r>
        <w:t xml:space="preserve">Lessons Learned</w:t>
      </w:r>
    </w:p>
    <w:p>
      <w:pPr>
        <w:pStyle w:val="FirstParagraph"/>
      </w:pPr>
      <w:r>
        <w:t xml:space="preserve">This Case Study highlights several critical lessons for any business operating a Chemist in Australia:</w:t>
      </w:r>
      <w:r>
        <w:t xml:space="preserve"> </w:t>
      </w:r>
      <w:r>
        <w:t xml:space="preserve">1. **Adaptability is Key:** The regulatory environment in Australia is dynamic. Businesses must have agile systems that can adapt to changes in PBS scheduling or TGA classifications rapidly.</w:t>
      </w:r>
      <w:r>
        <w:t xml:space="preserve"> </w:t>
      </w:r>
      <w:r>
        <w:t xml:space="preserve">2. **Service Over Product:** In the competitive Australian retail landscape, particularly in cities like Brisbane, competing on price alone is unsustainable for independent pharmacies. Value must be added through clinical services and customer experience.</w:t>
      </w:r>
      <w:r>
        <w:t xml:space="preserve"> </w:t>
      </w:r>
      <w:r>
        <w:t xml:space="preserve">3. **Local Relevance Matters:** Understanding the specific demographics of Brisbane—from its university students to its aging population—allows a Chemist to tailor services effectively. A one-size-fits-all approach does not work in diverse urban centers across Australia.</w:t>
      </w:r>
    </w:p>
    <w:bookmarkEnd w:id="26"/>
    <w:bookmarkStart w:id="27" w:name="future-outlook"/>
    <w:p>
      <w:pPr>
        <w:pStyle w:val="Heading2"/>
      </w:pPr>
      <w:r>
        <w:t xml:space="preserve">Future Outlook</w:t>
      </w:r>
    </w:p>
    <w:p>
      <w:pPr>
        <w:pStyle w:val="FirstParagraph"/>
      </w:pPr>
      <w:r>
        <w:t xml:space="preserve">Looking ahead, the trajectory for Chemists in Australia points toward greater integration with digital health ecosystems. The subject company is now exploring partnerships with telehealth providers to offer remote consultations followed by local medication pickup or delivery within Brisbane. This hybrid model aligns with national strategies to improve healthcare access in regional and urban areas alike.</w:t>
      </w:r>
      <w:r>
        <w:t xml:space="preserve"> </w:t>
      </w:r>
      <w:r>
        <w:t xml:space="preserve">Additionally, as climate change impacts health patterns in Queensland, there is an opportunity for Chemists to lead in public health education regarding heat stress management and infectious disease prevention. By staying ahead of these trends, the Chemist maintains its position as a leader in the Brisbane market.</w:t>
      </w:r>
    </w:p>
    <w:bookmarkEnd w:id="27"/>
    <w:bookmarkStart w:id="28" w:name="conclusion"/>
    <w:p>
      <w:pPr>
        <w:pStyle w:val="Heading2"/>
      </w:pPr>
      <w:r>
        <w:t xml:space="preserve">Conclusion</w:t>
      </w:r>
    </w:p>
    <w:p>
      <w:pPr>
        <w:pStyle w:val="FirstParagraph"/>
      </w:pPr>
      <w:r>
        <w:t xml:space="preserve">This Case Study demonstrates that while operating a Chemist in Australia presents significant regulatory and economic hurdles, proactive strategic planning can turn these challenges into opportunities for growth. For businesses in Brisbane specifically, leveraging local demographic insights and embracing technological compliance tools are essential strategies for long-term success. The evolution from a traditional retail model to a comprehensive healthcare provider is not just an operational shift but a necessity for survival in the modern Australian pharmaceutical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a Chemist in Australia, Brisbane</dc:title>
  <dc:creator/>
  <dc:language>en</dc:language>
  <cp:keywords/>
  <dcterms:created xsi:type="dcterms:W3CDTF">2026-07-29T07:29:14Z</dcterms:created>
  <dcterms:modified xsi:type="dcterms:W3CDTF">2026-07-29T07:29:14Z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