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a</w:t>
      </w:r>
      <w:r>
        <w:t xml:space="preserve"> </w:t>
      </w:r>
      <w:r>
        <w:t xml:space="preserve">Premium</w:t>
      </w:r>
      <w:r>
        <w:t xml:space="preserve"> </w:t>
      </w:r>
      <w:r>
        <w:t xml:space="preserve">Chemist</w:t>
      </w:r>
      <w:r>
        <w:t xml:space="preserve"> </w:t>
      </w:r>
      <w:r>
        <w:t xml:space="preserve">in</w:t>
      </w:r>
      <w:r>
        <w:t xml:space="preserve"> </w:t>
      </w:r>
      <w:r>
        <w:t xml:space="preserve">Canada,</w:t>
      </w:r>
      <w:r>
        <w:t xml:space="preserve"> </w:t>
      </w:r>
      <w:r>
        <w:t xml:space="preserve">Vancouver</w:t>
      </w:r>
    </w:p>
    <w:bookmarkStart w:id="33" w:name="Xd95358bf2b621327a6d8ccd588a3f3e6205851e"/>
    <w:p>
      <w:pPr>
        <w:pStyle w:val="Heading1"/>
      </w:pPr>
      <w:r>
        <w:t xml:space="preserve">Case Study: Navigating the Pharmaceutical Retail Landscape in Canada, Vancouver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p>
    <w:bookmarkStart w:id="20" w:name="executive-summary"/>
    <w:p>
      <w:pPr>
        <w:pStyle w:val="Heading2"/>
      </w:pPr>
      <w:r>
        <w:t xml:space="preserve">Executive Summary</w:t>
      </w:r>
    </w:p>
    <w:p>
      <w:pPr>
        <w:pStyle w:val="FirstParagraph"/>
      </w:pPr>
      <w:r>
        <w:t xml:space="preserve">The retail pharmacy sector in Canada is undergoing a significant transformation, driven by demographic shifts, regulatory changes, and evolving consumer expectations. This case study examines the strategic challenges and opportunities faced by a mid-sized chain attempting to establish a dominant presence in Vancouver, British Columbia. By focusing on the unique market dynamics of Canada's West Coast hub, this document outlines how adapting traditional</w:t>
      </w:r>
      <w:r>
        <w:t xml:space="preserve"> </w:t>
      </w:r>
      <w:r>
        <w:rPr>
          <w:bCs/>
          <w:b/>
        </w:rPr>
        <w:t xml:space="preserve">Chemist</w:t>
      </w:r>
      <w:r>
        <w:t xml:space="preserve"> </w:t>
      </w:r>
      <w:r>
        <w:t xml:space="preserve">operations to meet local demands can lead to sustainable growth.</w:t>
      </w:r>
    </w:p>
    <w:bookmarkEnd w:id="20"/>
    <w:bookmarkStart w:id="21" w:name="introduction-and-background"/>
    <w:p>
      <w:pPr>
        <w:pStyle w:val="Heading2"/>
      </w:pPr>
      <w:r>
        <w:t xml:space="preserve">1. Introduction and Background</w:t>
      </w:r>
    </w:p>
    <w:p>
      <w:pPr>
        <w:pStyle w:val="FirstParagraph"/>
      </w:pPr>
      <w:r>
        <w:t xml:space="preserve">Vancouver represents one of the most complex and lucrative markets for pharmaceutical retail in Canada. With a high concentration of retirees, a diverse multicultural population, and a strong emphasis on holistic health, the city offers distinct advantages for healthcare providers. However, it also presents stiff competition from both national giants (such as Shoppers Drug Mart and Rexall) and local independent</w:t>
      </w:r>
      <w:r>
        <w:t xml:space="preserve"> </w:t>
      </w:r>
      <w:r>
        <w:rPr>
          <w:bCs/>
          <w:b/>
        </w:rPr>
        <w:t xml:space="preserve">Chemist</w:t>
      </w:r>
      <w:r>
        <w:t xml:space="preserve"> </w:t>
      </w:r>
      <w:r>
        <w:t xml:space="preserve">outlets.</w:t>
      </w:r>
    </w:p>
    <w:p>
      <w:pPr>
        <w:pStyle w:val="BodyText"/>
      </w:pPr>
      <w:r>
        <w:t xml:space="preserve">The primary objective of this case study is to analyze how a new brand identity can leverage the specific socio-economic factors of Vancouver, British Columbia, to capture market share. The core thesis suggests that success in Canada requires moving beyond simple prescription fulfillment toward integrated health and wellness services.</w:t>
      </w:r>
    </w:p>
    <w:bookmarkEnd w:id="21"/>
    <w:bookmarkStart w:id="25" w:name="market-analysis-the-vancouver-context"/>
    <w:p>
      <w:pPr>
        <w:pStyle w:val="Heading2"/>
      </w:pPr>
      <w:r>
        <w:t xml:space="preserve">2. Market Analysis: The Vancouver Context</w:t>
      </w:r>
    </w:p>
    <w:bookmarkStart w:id="22" w:name="demographic-pressures"/>
    <w:p>
      <w:pPr>
        <w:pStyle w:val="Heading3"/>
      </w:pPr>
      <w:r>
        <w:t xml:space="preserve">Demographic Pressures</w:t>
      </w:r>
    </w:p>
    <w:p>
      <w:pPr>
        <w:pStyle w:val="FirstParagraph"/>
      </w:pPr>
      <w:r>
        <w:t xml:space="preserve">Vancouver has one of the fastest-aging populations in Canada. This demographic shift creates a sustained demand for chronic disease management, polypharmacy coordination, and home-delivery services. For any</w:t>
      </w:r>
      <w:r>
        <w:t xml:space="preserve"> </w:t>
      </w:r>
      <w:r>
        <w:rPr>
          <w:bCs/>
          <w:b/>
        </w:rPr>
        <w:t xml:space="preserve">Chemist</w:t>
      </w:r>
      <w:r>
        <w:t xml:space="preserve"> </w:t>
      </w:r>
      <w:r>
        <w:t xml:space="preserve">operating in this region, understanding the needs of senior citizens is not just a service option; it is a business imperative.</w:t>
      </w:r>
    </w:p>
    <w:bookmarkEnd w:id="22"/>
    <w:bookmarkStart w:id="23" w:name="cultural-diversity-and-health-literacy"/>
    <w:p>
      <w:pPr>
        <w:pStyle w:val="Heading3"/>
      </w:pPr>
      <w:r>
        <w:t xml:space="preserve">Cultural Diversity and Health Literacy</w:t>
      </w:r>
    </w:p>
    <w:p>
      <w:pPr>
        <w:pStyle w:val="FirstParagraph"/>
      </w:pPr>
      <w:r>
        <w:t xml:space="preserve">Vancouver is renowned for its multiculturalism. A significant portion of the population speaks languages other than English, including Mandarin, Punjabi, and Tagalog. Consequently, a successful retail strategy in Canada must prioritize multilingual staff and culturally competent care plans. This aspect distinguishes local</w:t>
      </w:r>
      <w:r>
        <w:t xml:space="preserve"> </w:t>
      </w:r>
      <w:r>
        <w:rPr>
          <w:bCs/>
          <w:b/>
        </w:rPr>
        <w:t xml:space="preserve">Chemist</w:t>
      </w:r>
      <w:r>
        <w:t xml:space="preserve"> </w:t>
      </w:r>
      <w:r>
        <w:t xml:space="preserve">operations from standardized national chains that may lack localized engagement.</w:t>
      </w:r>
    </w:p>
    <w:bookmarkEnd w:id="23"/>
    <w:bookmarkStart w:id="24" w:name="economic-factors"/>
    <w:p>
      <w:pPr>
        <w:pStyle w:val="Heading3"/>
      </w:pPr>
      <w:r>
        <w:t xml:space="preserve">Economic Factors</w:t>
      </w:r>
    </w:p>
    <w:p>
      <w:pPr>
        <w:pStyle w:val="FirstParagraph"/>
      </w:pPr>
      <w:r>
        <w:t xml:space="preserve">Vancouver has one of the highest costs of living in Canada. While this limits discretionary spending on non-essential health products, it simultaneously increases reliance on public healthcare programs like MSP (Medical Services Plan) and extended private insurance. Therefore, billing efficiency and insurance navigation become critical competencies for a modern</w:t>
      </w:r>
      <w:r>
        <w:t xml:space="preserve"> </w:t>
      </w:r>
      <w:r>
        <w:rPr>
          <w:bCs/>
          <w:b/>
        </w:rPr>
        <w:t xml:space="preserve">Chemist</w:t>
      </w:r>
      <w:r>
        <w:t xml:space="preserve">.</w:t>
      </w:r>
    </w:p>
    <w:bookmarkEnd w:id="24"/>
    <w:bookmarkEnd w:id="25"/>
    <w:bookmarkStart w:id="26" w:name="strategic-challenges-faced"/>
    <w:p>
      <w:pPr>
        <w:pStyle w:val="Heading2"/>
      </w:pPr>
      <w:r>
        <w:t xml:space="preserve">3. Strategic Challenges Faced</w:t>
      </w:r>
    </w:p>
    <w:p>
      <w:pPr>
        <w:numPr>
          <w:ilvl w:val="0"/>
          <w:numId w:val="1001"/>
        </w:numPr>
        <w:pStyle w:val="Compact"/>
      </w:pPr>
      <w:r>
        <w:rPr>
          <w:bCs/>
          <w:b/>
        </w:rPr>
        <w:t xml:space="preserve">Regulatory Compliance:</w:t>
      </w:r>
    </w:p>
    <w:p>
      <w:pPr>
        <w:numPr>
          <w:ilvl w:val="0"/>
          <w:numId w:val="1001"/>
        </w:numPr>
        <w:pStyle w:val="Compact"/>
      </w:pPr>
      <w:r>
        <w:rPr>
          <w:bCs/>
          <w:b/>
        </w:rPr>
        <w:t xml:space="preserve">Real Estate Constraints:</w:t>
      </w:r>
    </w:p>
    <w:p>
      <w:pPr>
        <w:numPr>
          <w:ilvl w:val="0"/>
          <w:numId w:val="1001"/>
        </w:numPr>
        <w:pStyle w:val="Compact"/>
      </w:pPr>
      <w:r>
        <w:rPr>
          <w:bCs/>
          <w:b/>
        </w:rPr>
        <w:t xml:space="preserve">Digital Integration:</w:t>
      </w:r>
    </w:p>
    <w:bookmarkEnd w:id="26"/>
    <w:bookmarkStart w:id="30" w:name="strategic-interventions-and-solutions"/>
    <w:p>
      <w:pPr>
        <w:pStyle w:val="Heading2"/>
      </w:pPr>
      <w:r>
        <w:t xml:space="preserve">4. Strategic Interventions and Solutions</w:t>
      </w:r>
    </w:p>
    <w:p>
      <w:pPr>
        <w:pStyle w:val="FirstParagraph"/>
      </w:pPr>
      <w:r>
        <w:t xml:space="preserve">To address these challenges, the proposed strategy focuses on three pillars: Community Integration, Digital Transformation, and Expanded Scope of Practice.</w:t>
      </w:r>
    </w:p>
    <w:bookmarkStart w:id="27" w:name="X517f2079fad89a56d115edbff533ed9c03409e7"/>
    <w:p>
      <w:pPr>
        <w:pStyle w:val="Heading3"/>
      </w:pPr>
      <w:r>
        <w:t xml:space="preserve">Pillar 1: Community-Centric Service Models</w:t>
      </w:r>
    </w:p>
    <w:p>
      <w:pPr>
        <w:pStyle w:val="FirstParagraph"/>
      </w:pPr>
      <w:r>
        <w:t xml:space="preserve">The brand positioned itself not merely as a store selling medication but as a community health hub. By partnering with local clinics and senior centers in Vancouver, the</w:t>
      </w:r>
      <w:r>
        <w:t xml:space="preserve"> </w:t>
      </w:r>
      <w:r>
        <w:rPr>
          <w:bCs/>
          <w:b/>
        </w:rPr>
        <w:t xml:space="preserve">Chemist</w:t>
      </w:r>
      <w:r>
        <w:t xml:space="preserve"> </w:t>
      </w:r>
      <w:r>
        <w:t xml:space="preserve">service introduced "Medication Therapy Management" (MTM) sessions. These free consultations help patients manage multiple prescriptions, reducing errors and improving adherence. This approach builds deep trust within the diverse neighborhoods of Canada.</w:t>
      </w:r>
    </w:p>
    <w:bookmarkEnd w:id="27"/>
    <w:bookmarkStart w:id="28" w:name="pillar-2-technology-driven-efficiency"/>
    <w:p>
      <w:pPr>
        <w:pStyle w:val="Heading3"/>
      </w:pPr>
      <w:r>
        <w:t xml:space="preserve">Pillar 2: Technology-Driven Efficiency</w:t>
      </w:r>
    </w:p>
    <w:p>
      <w:pPr>
        <w:pStyle w:val="FirstParagraph"/>
      </w:pPr>
      <w:r>
        <w:t xml:space="preserve">A proprietary mobile application was developed to streamline prescription refills and coordinate with extended benefit providers common in Canada. The app features multilingual support, catering directly to Vancouver’s linguistic diversity. Furthermore, AI-driven inventory management tools were implemented to reduce waste of perishable health products and ensure stock availability for seasonal demand spikes (such as flu season).</w:t>
      </w:r>
    </w:p>
    <w:bookmarkEnd w:id="28"/>
    <w:bookmarkStart w:id="29" w:name="pillar-3-clinical-expansion"/>
    <w:p>
      <w:pPr>
        <w:pStyle w:val="Heading3"/>
      </w:pPr>
      <w:r>
        <w:t xml:space="preserve">Pillar 3: Clinical Expansion</w:t>
      </w:r>
    </w:p>
    <w:p>
      <w:pPr>
        <w:pStyle w:val="FirstParagraph"/>
      </w:pPr>
      <w:r>
        <w:t xml:space="preserve">Leveraging recent regulatory changes in British Columbia that allow pharmacists to administer vaccinations, prescribe for minor ailments, and order diagnostic tests, the</w:t>
      </w:r>
      <w:r>
        <w:t xml:space="preserve"> </w:t>
      </w:r>
      <w:r>
        <w:rPr>
          <w:bCs/>
          <w:b/>
        </w:rPr>
        <w:t xml:space="preserve">Chemist</w:t>
      </w:r>
      <w:r>
        <w:t xml:space="preserve"> </w:t>
      </w:r>
      <w:r>
        <w:t xml:space="preserve">outlets expanded their service offerings. This shift transforms the retail space into a primary care access point, significantly increasing patient retention and revenue diversity.</w:t>
      </w:r>
    </w:p>
    <w:bookmarkEnd w:id="29"/>
    <w:bookmarkEnd w:id="30"/>
    <w:bookmarkStart w:id="31" w:name="results-and-performance-metrics"/>
    <w:p>
      <w:pPr>
        <w:pStyle w:val="Heading2"/>
      </w:pPr>
      <w:r>
        <w:t xml:space="preserve">5. Results and Performance Metrics</w:t>
      </w:r>
    </w:p>
    <w:p>
      <w:pPr>
        <w:pStyle w:val="FirstParagraph"/>
      </w:pPr>
      <w:r>
        <w:t xml:space="preserve">After an 18-month pilot phase in three key Vancouver neighborhoods (Kitsilano, Main Street, and Richmond), the results demonstrated significant improvements:</w:t>
      </w:r>
    </w:p>
    <w:p>
      <w:pPr>
        <w:numPr>
          <w:ilvl w:val="0"/>
          <w:numId w:val="1002"/>
        </w:numPr>
        <w:pStyle w:val="Compact"/>
      </w:pPr>
      <w:r>
        <w:rPr>
          <w:bCs/>
          <w:b/>
        </w:rPr>
        <w:t xml:space="preserve">Patient Retention:</w:t>
      </w:r>
    </w:p>
    <w:p>
      <w:pPr>
        <w:numPr>
          <w:ilvl w:val="0"/>
          <w:numId w:val="1002"/>
        </w:numPr>
        <w:pStyle w:val="Compact"/>
      </w:pPr>
      <w:r>
        <w:rPr>
          <w:bCs/>
          <w:b/>
        </w:rPr>
        <w:t xml:space="preserve">Clinical Volume:</w:t>
      </w:r>
    </w:p>
    <w:p>
      <w:pPr>
        <w:numPr>
          <w:ilvl w:val="0"/>
          <w:numId w:val="1002"/>
        </w:numPr>
        <w:pStyle w:val="Compact"/>
      </w:pPr>
      <w:r>
        <w:rPr>
          <w:bCs/>
          <w:b/>
        </w:rPr>
        <w:t xml:space="preserve">Customer Satisfaction:</w:t>
      </w:r>
    </w:p>
    <w:p>
      <w:pPr>
        <w:numPr>
          <w:ilvl w:val="0"/>
          <w:numId w:val="1002"/>
        </w:numPr>
        <w:pStyle w:val="Compact"/>
      </w:pPr>
      <w:r>
        <w:rPr>
          <w:bCs/>
          <w:b/>
        </w:rPr>
        <w:t xml:space="preserve">Operational Efficiency:</w:t>
      </w:r>
    </w:p>
    <w:bookmarkEnd w:id="31"/>
    <w:bookmarkStart w:id="32" w:name="conclusion"/>
    <w:p>
      <w:pPr>
        <w:pStyle w:val="Heading2"/>
      </w:pPr>
      <w:r>
        <w:t xml:space="preserve">6. Conclusion</w:t>
      </w:r>
    </w:p>
    <w:p>
      <w:pPr>
        <w:pStyle w:val="FirstParagraph"/>
      </w:pPr>
      <w:r>
        <w:t xml:space="preserve">This case study illustrates that the traditional model of the</w:t>
      </w:r>
      <w:r>
        <w:t xml:space="preserve"> </w:t>
      </w:r>
      <w:r>
        <w:rPr>
          <w:bCs/>
          <w:b/>
        </w:rPr>
        <w:t xml:space="preserve">Chemist</w:t>
      </w:r>
      <w:r>
        <w:t xml:space="preserve"> </w:t>
      </w:r>
      <w:r>
        <w:t xml:space="preserve">is obsolete in modern healthcare environments. In Canada, specifically within a dynamic market like Vancouver, success depends on agility, cultural competency, and technological integration. By adapting to the specific needs of Vancouver’s aging and diverse population, businesses can transform their retail footprints into essential community health assets.</w:t>
      </w:r>
    </w:p>
    <w:p>
      <w:pPr>
        <w:pStyle w:val="BodyText"/>
      </w:pPr>
      <w:r>
        <w:rPr>
          <w:bCs/>
          <w:b/>
        </w:rPr>
        <w:t xml:space="preserve">Key Takeaway:</w:t>
      </w:r>
      <w:r>
        <w:t xml:space="preserve"> </w:t>
      </w:r>
      <w:r>
        <w:t xml:space="preserve">For any organization looking to enter or expand in Canada, understanding the local nuances of Vancouver is paramount. The integration of clinical services with traditional pharmacy operations creates a resilient business model capable of thriving amidst regulatory and economic complexities.</w:t>
      </w:r>
    </w:p>
    <w:p>
      <w:pPr>
        <w:pStyle w:val="BodyText"/>
      </w:pPr>
      <w:r>
        <w:rPr>
          <w:iCs/>
          <w:i/>
        </w:rPr>
        <w:t xml:space="preserve">This document serves as a blueprint for stakeholders interested in healthcare retail expansion, highlighting the critical interplay between local market characteristics and strategic operational adjustments.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a Premium Chemist in Canada, Vancouver</dc:title>
  <dc:creator/>
  <dc:language>en</dc:language>
  <cp:keywords/>
  <dcterms:created xsi:type="dcterms:W3CDTF">2026-07-29T05:06:32Z</dcterms:created>
  <dcterms:modified xsi:type="dcterms:W3CDTF">2026-07-29T05:06:32Z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