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Modern</w:t>
      </w:r>
      <w:r>
        <w:t xml:space="preserve"> </w:t>
      </w:r>
      <w:r>
        <w:t xml:space="preserve">Chemist</w:t>
      </w:r>
      <w:r>
        <w:t xml:space="preserve"> </w:t>
      </w:r>
      <w:r>
        <w:t xml:space="preserve">in</w:t>
      </w:r>
      <w:r>
        <w:t xml:space="preserve"> </w:t>
      </w:r>
      <w:r>
        <w:t xml:space="preserve">Japan</w:t>
      </w:r>
      <w:r>
        <w:t xml:space="preserve"> </w:t>
      </w:r>
      <w:r>
        <w:t xml:space="preserve">Kyoto</w:t>
      </w:r>
    </w:p>
    <w:bookmarkStart w:id="31" w:name="X455b33f3f5d06bf6a1d53561b9fc3b4cc93a705"/>
    <w:p>
      <w:pPr>
        <w:pStyle w:val="Heading1"/>
      </w:pPr>
      <w:r>
        <w:t xml:space="preserve">Case Study: Strategic Implementation of a Modern Chemist in Japan Kyoto</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Regional Healthcare Expansion Committee</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This case study examines the viability, operational challenges, and strategic opportunities associated with establishing a state-of-the-art Chemist (pharmacy) in Kyoto, Japan. As the demand for specialized pharmaceutical care grows in historic urban centers like Japan Kyoto, traditional models of drug dispensing are being re-evaluated. This document explores how integrating advanced chemical diagnostics with community-based care can create a sustainable business model that respects local cultural nuances while delivering high-quality healthcare outcomes.</w:t>
      </w:r>
    </w:p>
    <w:bookmarkEnd w:id="20"/>
    <w:bookmarkStart w:id="21" w:name="X90121944b4bc0b152719e824e3a9ba0c5d74bf1"/>
    <w:p>
      <w:pPr>
        <w:pStyle w:val="Heading2"/>
      </w:pPr>
      <w:r>
        <w:t xml:space="preserve">2. Background and Context: The Unique Landscape of Japan Kyoto</w:t>
      </w:r>
    </w:p>
    <w:p>
      <w:pPr>
        <w:pStyle w:val="FirstParagraph"/>
      </w:pPr>
      <w:r>
        <w:t xml:space="preserve">Kyoto, the cultural heart of Japan, presents a distinct environment for healthcare providers. Unlike Tokyo or Osaka, which are characterized by rapid vertical expansion and transient populations, Japan Kyoto offers a dense yet historic urban fabric with an aging demographic profile. The city is home to over 1.4 million residents, with more than 28% of the population aged 65 or older. This demographic reality drives a specific demand for chronic disease management, polypharmacy oversight, and geriatric care.</w:t>
      </w:r>
    </w:p>
    <w:p>
      <w:pPr>
        <w:pStyle w:val="BodyText"/>
      </w:pPr>
      <w:r>
        <w:t xml:space="preserve">Furthermore, Japan Kyoto is a hub for traditional medicine (Kampo) and modern Western pharmaceuticals coexisting side by side. The cultural acceptance of herbal remedies creates a unique hybrid market. A Chemist operating in this region cannot simply replicate Western pharmacy models; they must navigate the intricate balance between conventional chemical formulations and traditional botanical treatments. The tourism industry, heavily centered around Kyoto’s temples and geisha districts, also introduces a layer of complexity regarding short-term visitors requiring emergency pharmaceutical supplies or specialized travel health advice.</w:t>
      </w:r>
    </w:p>
    <w:bookmarkEnd w:id="21"/>
    <w:bookmarkStart w:id="22" w:name="problem-statement"/>
    <w:p>
      <w:pPr>
        <w:pStyle w:val="Heading2"/>
      </w:pPr>
      <w:r>
        <w:t xml:space="preserve">3. Problem Statement</w:t>
      </w:r>
    </w:p>
    <w:p>
      <w:pPr>
        <w:pStyle w:val="FirstParagraph"/>
      </w:pPr>
      <w:r>
        <w:t xml:space="preserve">The primary problem addressed in this case study is the gap between traditional dispensing practices and the emerging need for clinical pharmacy services in Japan Kyoto. Historically, pharmacists (known as *Gokunin* or *Ryakugunin* depending on licensure level) in Japan have focused primarily on accurate dispensing and basic patient counseling. However, with the implementation of new national healthcare policies aimed at reducing drug costs through generic substitution and promoting home-based care, there is a pressing need for Chemists to evolve into clinical partners.</w:t>
      </w:r>
    </w:p>
    <w:p>
      <w:pPr>
        <w:pStyle w:val="BodyText"/>
      </w:pPr>
      <w:r>
        <w:t xml:space="preserve">Key challenges include:</w:t>
      </w:r>
    </w:p>
    <w:p>
      <w:pPr>
        <w:numPr>
          <w:ilvl w:val="0"/>
          <w:numId w:val="1001"/>
        </w:numPr>
        <w:pStyle w:val="Compact"/>
      </w:pPr>
      <w:r>
        <w:rPr>
          <w:bCs/>
          <w:b/>
        </w:rPr>
        <w:t xml:space="preserve">Demographic Pressure:</w:t>
      </w:r>
      <w:r>
        <w:t xml:space="preserve">An aging population in Japan Kyoto requires complex medication reconciliation to prevent adverse drug events.</w:t>
      </w:r>
    </w:p>
    <w:p>
      <w:pPr>
        <w:numPr>
          <w:ilvl w:val="0"/>
          <w:numId w:val="1001"/>
        </w:numPr>
        <w:pStyle w:val="Compact"/>
      </w:pPr>
      <w:r>
        <w:rPr>
          <w:bCs/>
          <w:b/>
        </w:rPr>
        <w:t xml:space="preserve">Cultural Integration:</w:t>
      </w:r>
      <w:r>
        <w:t xml:space="preserve">Bridging the gap between Western pharmacology and Kampo herbal traditions.</w:t>
      </w:r>
    </w:p>
    <w:p>
      <w:pPr>
        <w:numPr>
          <w:ilvl w:val="0"/>
          <w:numId w:val="1001"/>
        </w:numPr>
        <w:pStyle w:val="Compact"/>
      </w:pPr>
      <w:r>
        <w:rPr>
          <w:bCs/>
          <w:b/>
        </w:rPr>
        <w:t xml:space="preserve">Regulatory Compliance:</w:t>
      </w:r>
      <w:r>
        <w:t xml:space="preserve">Navigating Japan’s strict Pharmaceutical Affairs Law while adopting international standards of care.</w:t>
      </w:r>
    </w:p>
    <w:bookmarkEnd w:id="22"/>
    <w:bookmarkStart w:id="26" w:name="X3b8e65f44ae63409418bba53fecbcbe3ef720b4"/>
    <w:p>
      <w:pPr>
        <w:pStyle w:val="Heading2"/>
      </w:pPr>
      <w:r>
        <w:t xml:space="preserve">4. Proposed Solution: The Integrated Chemist Model</w:t>
      </w:r>
    </w:p>
    <w:p>
      <w:pPr>
        <w:pStyle w:val="FirstParagraph"/>
      </w:pPr>
      <w:r>
        <w:t xml:space="preserve">To address these challenges, we propose the establishment of a "Clinical-Integrated Chemist" in central Kyoto. This facility will not merely dispense medication but will serve as a community health hub.</w:t>
      </w:r>
    </w:p>
    <w:bookmarkStart w:id="23" w:name="clinical-services-enhancement"/>
    <w:p>
      <w:pPr>
        <w:pStyle w:val="Heading3"/>
      </w:pPr>
      <w:r>
        <w:t xml:space="preserve">4.1 Clinical Services Enhancement</w:t>
      </w:r>
    </w:p>
    <w:p>
      <w:pPr>
        <w:pStyle w:val="FirstParagraph"/>
      </w:pPr>
      <w:r>
        <w:t xml:space="preserve">The Chemist will employ certified clinical pharmacists capable of conducting comprehensive drug regimen reviews (DTRs). These reviews are critical for elderly patients managing multiple chronic conditions such as hypertension, diabetes, and dementia. By proactively identifying potential interactions between prescription drugs and over-the-counter medications, the Chemist can significantly reduce hospital readmission rates.</w:t>
      </w:r>
    </w:p>
    <w:bookmarkEnd w:id="23"/>
    <w:bookmarkStart w:id="24" w:name="the-kampo-western-synergy"/>
    <w:p>
      <w:pPr>
        <w:pStyle w:val="Heading3"/>
      </w:pPr>
      <w:r>
        <w:t xml:space="preserve">4.2 The Kampo-Western Synergy</w:t>
      </w:r>
    </w:p>
    <w:p>
      <w:pPr>
        <w:pStyle w:val="FirstParagraph"/>
      </w:pPr>
      <w:r>
        <w:t xml:space="preserve">A unique feature of this Japan Kyoto location is the dedicated section for Kampo prescriptions. The Chemist will staff specialists trained in both Western chemistry and traditional Japanese herbal medicine. This allows for seamless integration when patients wish to combine conventional treatments with traditional therapies, ensuring safety through rigorous chemical interaction analysis.</w:t>
      </w:r>
    </w:p>
    <w:bookmarkEnd w:id="24"/>
    <w:bookmarkStart w:id="25" w:name="digital-health-integration"/>
    <w:p>
      <w:pPr>
        <w:pStyle w:val="Heading3"/>
      </w:pPr>
      <w:r>
        <w:t xml:space="preserve">4.3 Digital Health Integration</w:t>
      </w:r>
    </w:p>
    <w:p>
      <w:pPr>
        <w:pStyle w:val="FirstParagraph"/>
      </w:pPr>
      <w:r>
        <w:t xml:space="preserve">Leveraging Japan’s high digital literacy, the Chemist will implement a telepharmacy platform. This allows for remote consultations with specialists in other parts of Japan Kyoto and beyond. Patients can upload prescriptions via a secure app, receive automated interaction warnings, and schedule pick-up or home delivery services. This is particularly vital for patients with limited mobility in Kyoto’s older districts where accessible infrastructure is scarce.</w:t>
      </w:r>
    </w:p>
    <w:bookmarkEnd w:id="25"/>
    <w:bookmarkEnd w:id="26"/>
    <w:bookmarkStart w:id="27" w:name="implementation-strategy"/>
    <w:p>
      <w:pPr>
        <w:pStyle w:val="Heading2"/>
      </w:pPr>
      <w:r>
        <w:t xml:space="preserve">5. Implementation Strategy</w:t>
      </w:r>
    </w:p>
    <w:p>
      <w:pPr>
        <w:pStyle w:val="FirstParagraph"/>
      </w:pPr>
      <w:r>
        <w:t xml:space="preserve">The rollout of this Chemist will occur in three phases:</w:t>
      </w:r>
    </w:p>
    <w:p>
      <w:pPr>
        <w:numPr>
          <w:ilvl w:val="0"/>
          <w:numId w:val="1002"/>
        </w:numPr>
        <w:pStyle w:val="Compact"/>
      </w:pPr>
      <w:r>
        <w:rPr>
          <w:bCs/>
          <w:b/>
        </w:rPr>
        <w:t xml:space="preserve">Phase 1: Regulatory and Site Selection (Months 1-6):</w:t>
      </w:r>
      <w:r>
        <w:t xml:space="preserve">Selecting a location near major medical centers in Kyoto ensures high foot traffic from patients referred by doctors. Simultaneously, obtaining licenses from the Ministry of Health, Labour and Welfare is critical.</w:t>
      </w:r>
    </w:p>
    <w:p>
      <w:pPr>
        <w:numPr>
          <w:ilvl w:val="0"/>
          <w:numId w:val="1002"/>
        </w:numPr>
        <w:pStyle w:val="Compact"/>
      </w:pPr>
      <w:r>
        <w:rPr>
          <w:bCs/>
          <w:b/>
        </w:rPr>
        <w:t xml:space="preserve">Phase 2: Staffing and Training (Months 7-9):</w:t>
      </w:r>
      <w:r>
        <w:t xml:space="preserve">Hiring local talent who understand the cultural context of Japan Kyoto. Extensive training on new clinical protocols and digital tools will be conducted.</w:t>
      </w:r>
    </w:p>
    <w:p>
      <w:pPr>
        <w:numPr>
          <w:ilvl w:val="0"/>
          <w:numId w:val="1002"/>
        </w:numPr>
        <w:pStyle w:val="Compact"/>
      </w:pPr>
      <w:r>
        <w:rPr>
          <w:bCs/>
          <w:b/>
        </w:rPr>
        <w:t xml:space="preserve">Phase 3: Launch and Community Outreach (Months 10-12):</w:t>
      </w:r>
      <w:r>
        <w:t xml:space="preserve">A soft launch focusing on building relationships with local physicians. Marketing will emphasize trust, precision, and the unique dual expertise in Western and Eastern medicine.</w:t>
      </w:r>
    </w:p>
    <w:bookmarkEnd w:id="27"/>
    <w:bookmarkStart w:id="28" w:name="financial-projections-and-sustainability"/>
    <w:p>
      <w:pPr>
        <w:pStyle w:val="Heading2"/>
      </w:pPr>
      <w:r>
        <w:t xml:space="preserve">6. Financial Projections and Sustainability</w:t>
      </w:r>
    </w:p>
    <w:p>
      <w:pPr>
        <w:pStyle w:val="FirstParagraph"/>
      </w:pPr>
      <w:r>
        <w:t xml:space="preserve">The financial model relies on a diversified revenue stream. While traditional dispensing fees provide baseline income, the primary growth driver will be clinical service fees reimbursable by Japan’s national health insurance for complex medication management. Additionally, premium services such as customized supplement formulations and travel health kits for tourists in Kyoto will generate private-pay revenue.</w:t>
      </w:r>
    </w:p>
    <w:p>
      <w:pPr>
        <w:pStyle w:val="BodyText"/>
      </w:pPr>
      <w:r>
        <w:t xml:space="preserve">Initial capital expenditure is expected to be higher than standard pharmacies due to the investment in digital infrastructure and specialized staff training. However, break-even analysis suggests profitability within 18 months, driven by the high volume of elderly patients requiring ongoing care.</w:t>
      </w:r>
    </w:p>
    <w:bookmarkEnd w:id="28"/>
    <w:bookmarkStart w:id="29" w:name="risks-and-mitigation"/>
    <w:p>
      <w:pPr>
        <w:pStyle w:val="Heading2"/>
      </w:pPr>
      <w:r>
        <w:t xml:space="preserve">7. Risks and Mitigation</w:t>
      </w:r>
    </w:p>
    <w:p>
      <w:pPr>
        <w:pStyle w:val="FirstParagraph"/>
      </w:pPr>
      <w:r>
        <w:rPr>
          <w:bCs/>
          <w:b/>
        </w:rPr>
        <w:t xml:space="preserve">Risk:</w:t>
      </w:r>
      <w:r>
        <w:t xml:space="preserve"> </w:t>
      </w:r>
      <w:r>
        <w:t xml:space="preserve">Labor Shortage.</w:t>
      </w:r>
      <w:r>
        <w:br/>
      </w:r>
      <w:r>
        <w:rPr>
          <w:iCs/>
          <w:i/>
        </w:rPr>
        <w:t xml:space="preserve">Mitigation:</w:t>
      </w:r>
      <w:r>
        <w:t xml:space="preserve">Kyoto faces a general labor shortage in Japan. The Chemist will implement flexible working hours and competitive benefits to attract top talent. Partnerships with local universities for internships will also secure a future pipeline of pharmacists.</w:t>
      </w:r>
    </w:p>
    <w:p>
      <w:pPr>
        <w:pStyle w:val="BodyText"/>
      </w:pPr>
      <w:r>
        <w:rPr>
          <w:bCs/>
          <w:b/>
        </w:rPr>
        <w:t xml:space="preserve">Risk:</w:t>
      </w:r>
      <w:r>
        <w:t xml:space="preserve"> </w:t>
      </w:r>
      <w:r>
        <w:t xml:space="preserve">Cultural Resistance to Digital Tools.</w:t>
      </w:r>
      <w:r>
        <w:br/>
      </w:r>
      <w:r>
        <w:rPr>
          <w:iCs/>
          <w:i/>
        </w:rPr>
        <w:t xml:space="preserve">Mitigation:</w:t>
      </w:r>
      <w:r>
        <w:t xml:space="preserve">An in-person onboarding process will be maintained alongside digital options to reassure elderly patients who may be hesitant about technology. Staff will provide one-on-one assistance with app usage.</w:t>
      </w:r>
    </w:p>
    <w:bookmarkEnd w:id="29"/>
    <w:bookmarkStart w:id="30" w:name="conclusion"/>
    <w:p>
      <w:pPr>
        <w:pStyle w:val="Heading2"/>
      </w:pPr>
      <w:r>
        <w:t xml:space="preserve">8. Conclusion</w:t>
      </w:r>
    </w:p>
    <w:p>
      <w:pPr>
        <w:pStyle w:val="FirstParagraph"/>
      </w:pPr>
      <w:r>
        <w:t xml:space="preserve">The establishment of a modern Chemist in Japan Kyoto represents more than a commercial venture; it is a necessary evolution of healthcare delivery in an aging society. By respecting the unique cultural heritage of Kyoto while embracing clinical innovation, this model sets a new standard for pharmaceutical care. It demonstrates that tradition and modernity can coexist effectively, providing superior health outcomes for the residents of Japan Kyoto.</w:t>
      </w:r>
    </w:p>
    <w:p>
      <w:pPr>
        <w:pStyle w:val="BodyText"/>
      </w:pPr>
      <w:r>
        <w:t xml:space="preserve">This case study confirms that with careful planning, regulatory adherence, and a deep understanding of local demographics, a Chemist in this region can achieve both financial sustainability and significant social impact. The integration of clinical services, digital health tools, and respect for traditional Kampo medicine creates a robust framework for future expansion into other historic Japanese cities.</w:t>
      </w:r>
    </w:p>
    <w:p>
      <w:pPr>
        <w:pStyle w:val="BodyText"/>
      </w:pPr>
      <w:r>
        <w:rPr>
          <w:iCs/>
          <w:i/>
        </w:rPr>
        <w:t xml:space="preserve">Note: This document is for informational purposes only and does not constitute legal or medical advice. All strategies are subject to final regulatory approval by Japanese health authorities.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a Modern Chemist in Japan Kyoto</dc:title>
  <dc:creator/>
  <dc:language>en</dc:language>
  <cp:keywords/>
  <dcterms:created xsi:type="dcterms:W3CDTF">2026-07-29T05:50:01Z</dcterms:created>
  <dcterms:modified xsi:type="dcterms:W3CDTF">2026-07-29T05:50:01Z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