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4314b66583aea3d1390826fba058b293686257d"/>
    <w:p>
      <w:pPr>
        <w:pStyle w:val="Heading1"/>
      </w:pPr>
      <w:r>
        <w:t xml:space="preserve">Case Study: Strategic Market Penetration and Brand Positioning for a Modern Chemist in Malaysia Kuala Lumpur</w:t>
      </w:r>
    </w:p>
    <w:bookmarkStart w:id="20" w:name="executive-summary"/>
    <w:p>
      <w:pPr>
        <w:pStyle w:val="Heading2"/>
      </w:pPr>
      <w:r>
        <w:t xml:space="preserve">Executive Summary</w:t>
      </w:r>
    </w:p>
    <w:p>
      <w:pPr>
        <w:pStyle w:val="FirstParagraph"/>
      </w:pPr>
      <w:r>
        <w:t xml:space="preserve">This case study examines the operational challenges, strategic interventions, and subsequent success of "MediCare Plus," a mid-sized pharmacy chain seeking to establish a dominant foothold in the highly competitive retail healthcare sector. The primary focus of this analysis is the expansion into</w:t>
      </w:r>
      <w:r>
        <w:t xml:space="preserve"> </w:t>
      </w:r>
      <w:r>
        <w:rPr>
          <w:bCs/>
          <w:b/>
        </w:rPr>
        <w:t xml:space="preserve">Malaysia Kuala Lumpur</w:t>
      </w:r>
      <w:r>
        <w:t xml:space="preserve">, specifically targeting high-density commercial and residential districts. By adapting traditional</w:t>
      </w:r>
      <w:r>
        <w:t xml:space="preserve"> </w:t>
      </w:r>
      <w:r>
        <w:rPr>
          <w:bCs/>
          <w:b/>
        </w:rPr>
        <w:t xml:space="preserve">Chemist</w:t>
      </w:r>
      <w:r>
        <w:t xml:space="preserve"> </w:t>
      </w:r>
      <w:r>
        <w:t xml:space="preserve">models to meet the digital-first expectations and multicultural demands of urban consumers, MediCare Plus achieved a 35% increase in year-over-year revenue within its first eighteen months of operation.</w:t>
      </w:r>
    </w:p>
    <w:bookmarkEnd w:id="20"/>
    <w:bookmarkStart w:id="21" w:name="company-background"/>
    <w:p>
      <w:pPr>
        <w:pStyle w:val="Heading2"/>
      </w:pPr>
      <w:r>
        <w:t xml:space="preserve">Company Background</w:t>
      </w:r>
    </w:p>
    <w:p>
      <w:pPr>
        <w:pStyle w:val="FirstParagraph"/>
      </w:pPr>
      <w:r>
        <w:t xml:space="preserve">Founded in 2015, MediCare Plus began as a family-owned business with three outlets in suburban areas. The core value proposition relied on personalized service and trust. However, growth stagnated due to market saturation in regional towns. Recognizing the economic vitality of the capital city, management decided to pivot towards a high-volume, tech-integrated</w:t>
      </w:r>
      <w:r>
        <w:t xml:space="preserve"> </w:t>
      </w:r>
      <w:r>
        <w:rPr>
          <w:bCs/>
          <w:b/>
        </w:rPr>
        <w:t xml:space="preserve">Chemist</w:t>
      </w:r>
      <w:r>
        <w:t xml:space="preserve"> </w:t>
      </w:r>
      <w:r>
        <w:t xml:space="preserve">model located within the bustling metropolis of</w:t>
      </w:r>
      <w:r>
        <w:t xml:space="preserve"> </w:t>
      </w:r>
      <w:r>
        <w:rPr>
          <w:bCs/>
          <w:b/>
        </w:rPr>
        <w:t xml:space="preserve">Malaysia Kuala Lumpur</w:t>
      </w:r>
      <w:r>
        <w:t xml:space="preserve">.</w:t>
      </w:r>
    </w:p>
    <w:bookmarkEnd w:id="21"/>
    <w:bookmarkStart w:id="25" w:name="X137432d19e41602c832dbc523930b57a3a9ff9b"/>
    <w:p>
      <w:pPr>
        <w:pStyle w:val="Heading2"/>
      </w:pPr>
      <w:r>
        <w:t xml:space="preserve">The Challenge: Navigating the Urban Landscape of Malaysia Kuala Lumpur</w:t>
      </w:r>
    </w:p>
    <w:p>
      <w:pPr>
        <w:pStyle w:val="FirstParagraph"/>
      </w:pPr>
      <w:r>
        <w:t xml:space="preserve">The decision to enter the market in</w:t>
      </w:r>
      <w:r>
        <w:t xml:space="preserve"> </w:t>
      </w:r>
      <w:r>
        <w:rPr>
          <w:bCs/>
          <w:b/>
        </w:rPr>
        <w:t xml:space="preserve">Malaysia Kuala Lumpur</w:t>
      </w:r>
    </w:p>
    <w:bookmarkStart w:id="22" w:name="market-saturation-and-competition"/>
    <w:p>
      <w:pPr>
        <w:pStyle w:val="Heading3"/>
      </w:pPr>
      <w:r>
        <w:t xml:space="preserve">1. Market Saturation and Competition</w:t>
      </w:r>
    </w:p>
    <w:p>
      <w:pPr>
        <w:pStyle w:val="FirstParagraph"/>
      </w:pPr>
      <w:r>
        <w:t xml:space="preserve">In districts like Mont Kiara, Bangsar, and the Golden Triangle of Kuala Lumpur, consumer spending power is high, but so is the density of healthcare providers. A standard</w:t>
      </w:r>
      <w:r>
        <w:t xml:space="preserve"> </w:t>
      </w:r>
      <w:r>
        <w:rPr>
          <w:bCs/>
          <w:b/>
        </w:rPr>
        <w:t xml:space="preserve">Chemist</w:t>
      </w:r>
      <w:r>
        <w:t xml:space="preserve"> </w:t>
      </w:r>
      <w:r>
        <w:t xml:space="preserve">approach offering only prescription fulfillment was insufficient to capture market share. MediCare Plus needed to differentiate itself not just as a place to buy medicine, but as a holistic wellness hub.</w:t>
      </w:r>
    </w:p>
    <w:bookmarkEnd w:id="22"/>
    <w:bookmarkStart w:id="23" w:name="cultural-and-demographic-diversity"/>
    <w:p>
      <w:pPr>
        <w:pStyle w:val="Heading3"/>
      </w:pPr>
      <w:r>
        <w:t xml:space="preserve">2. Cultural and Demographic Diversity</w:t>
      </w:r>
    </w:p>
    <w:p>
      <w:pPr>
        <w:pStyle w:val="FirstParagraph"/>
      </w:pPr>
      <w:r>
        <w:rPr>
          <w:bCs/>
          <w:b/>
        </w:rPr>
        <w:t xml:space="preserve">Malaysia Kuala Lumpur</w:t>
      </w:r>
      <w:r>
        <w:t xml:space="preserve"> </w:t>
      </w:r>
      <w:r>
        <w:t xml:space="preserve">is a melting pot of Malay, Chinese, Indian, and expatriate communities. A one-size-fits-all marketing strategy failed in preliminary market research. The team had to recognize that health perceptions vary significantly across these groups. For instance, demand for Traditional Chinese Medicine (TCM) supplements was exceptionally high in certain boroughs of KL, while others showed a stronger preference for Western nutraceuticals and organic health products.</w:t>
      </w:r>
    </w:p>
    <w:bookmarkEnd w:id="23"/>
    <w:bookmarkStart w:id="24" w:name="regulatory-compliance"/>
    <w:p>
      <w:pPr>
        <w:pStyle w:val="Heading3"/>
      </w:pPr>
      <w:r>
        <w:t xml:space="preserve">3. Regulatory Compliance</w:t>
      </w:r>
    </w:p>
    <w:p>
      <w:pPr>
        <w:pStyle w:val="FirstParagraph"/>
      </w:pPr>
      <w:r>
        <w:t xml:space="preserve">Navigating the regulatory framework set by the Pharmacy Board of Malaysia and local municipal councils (DBKL) required rigorous adherence to licensing standards. Ensuring that every staff member in this new KL branch was fully certified while maintaining operational agility was a significant hurdle for a rapidly expanding</w:t>
      </w:r>
      <w:r>
        <w:t xml:space="preserve"> </w:t>
      </w:r>
      <w:r>
        <w:rPr>
          <w:bCs/>
          <w:b/>
        </w:rPr>
        <w:t xml:space="preserve">Chemist</w:t>
      </w:r>
      <w:r>
        <w:t xml:space="preserve"> </w:t>
      </w:r>
      <w:r>
        <w:t xml:space="preserve">operation.</w:t>
      </w:r>
    </w:p>
    <w:bookmarkEnd w:id="24"/>
    <w:bookmarkEnd w:id="25"/>
    <w:bookmarkStart w:id="29" w:name="X540676124c8e8a92913762c644fd07aec995b79"/>
    <w:p>
      <w:pPr>
        <w:pStyle w:val="Heading2"/>
      </w:pPr>
      <w:r>
        <w:t xml:space="preserve">The Solution: A Hybrid Omni-Channel Strategy</w:t>
      </w:r>
    </w:p>
    <w:p>
      <w:pPr>
        <w:pStyle w:val="FirstParagraph"/>
      </w:pPr>
      <w:r>
        <w:t xml:space="preserve">To address these challenges, MediCare Plus implemented a three-pronged strategy tailored specifically for the dynamics of</w:t>
      </w:r>
      <w:r>
        <w:t xml:space="preserve"> </w:t>
      </w:r>
      <w:r>
        <w:rPr>
          <w:bCs/>
          <w:b/>
        </w:rPr>
        <w:t xml:space="preserve">Malaysia Kuala Lumpur</w:t>
      </w:r>
      <w:r>
        <w:t xml:space="preserve">.</w:t>
      </w:r>
    </w:p>
    <w:bookmarkStart w:id="26" w:name="a.-digital-integration-and-telemedicine"/>
    <w:p>
      <w:pPr>
        <w:pStyle w:val="Heading3"/>
      </w:pPr>
      <w:r>
        <w:t xml:space="preserve">A. Digital Integration and Telemedicine</w:t>
      </w:r>
    </w:p>
    <w:p>
      <w:pPr>
        <w:pStyle w:val="FirstParagraph"/>
      </w:pPr>
      <w:r>
        <w:t xml:space="preserve">The modern consumer in KL expects convenience. MediCare Plus launched a proprietary mobile application that allowed users to upload prescriptions, order medication for home delivery within 24 hours, and book consultations with pharmacists via video call. This digital layer transformed the physical store from a mere dispensary into the fulfillment center of an integrated health ecosystem. By leveraging this technology, the</w:t>
      </w:r>
      <w:r>
        <w:t xml:space="preserve"> </w:t>
      </w:r>
      <w:r>
        <w:rPr>
          <w:bCs/>
          <w:b/>
        </w:rPr>
        <w:t xml:space="preserve">Chemist</w:t>
      </w:r>
      <w:r>
        <w:t xml:space="preserve"> </w:t>
      </w:r>
      <w:r>
        <w:t xml:space="preserve">could serve customers in high-rise condos in KLCC without them ever needing to visit the physical storefront for routine refills.</w:t>
      </w:r>
    </w:p>
    <w:bookmarkEnd w:id="26"/>
    <w:bookmarkStart w:id="27" w:name="b.-localized-product-assortment"/>
    <w:p>
      <w:pPr>
        <w:pStyle w:val="Heading3"/>
      </w:pPr>
      <w:r>
        <w:t xml:space="preserve">B. Localized Product Assortment</w:t>
      </w:r>
    </w:p>
    <w:p>
      <w:pPr>
        <w:pStyle w:val="FirstParagraph"/>
      </w:pPr>
      <w:r>
        <w:t xml:space="preserve">In response to the multicultural demographic of</w:t>
      </w:r>
      <w:r>
        <w:t xml:space="preserve"> </w:t>
      </w:r>
      <w:r>
        <w:rPr>
          <w:bCs/>
          <w:b/>
        </w:rPr>
        <w:t xml:space="preserve">Malaysia Kuala Lumpur</w:t>
      </w:r>
      <w:r>
        <w:t xml:space="preserve">, inventory management was hyper-localized.</w:t>
      </w:r>
    </w:p>
    <w:p>
      <w:pPr>
        <w:numPr>
          <w:ilvl w:val="0"/>
          <w:numId w:val="1001"/>
        </w:numPr>
        <w:pStyle w:val="Compact"/>
      </w:pPr>
      <w:r>
        <w:rPr>
          <w:bCs/>
          <w:b/>
        </w:rPr>
        <w:t xml:space="preserve">Cultural Specificity:</w:t>
      </w:r>
      <w:r>
        <w:t xml:space="preserve"> </w:t>
      </w:r>
      <w:r>
        <w:t xml:space="preserve">Stores in areas with high Chinese populations stocked premium TCM products and herbal teas. Areas with significant Indian demographics featured Ayurvedic supplements.</w:t>
      </w:r>
    </w:p>
    <w:p>
      <w:pPr>
        <w:numPr>
          <w:ilvl w:val="0"/>
          <w:numId w:val="1001"/>
        </w:numPr>
        <w:pStyle w:val="Compact"/>
      </w:pPr>
      <w:r>
        <w:rPr>
          <w:bCs/>
          <w:b/>
        </w:rPr>
        <w:t xml:space="preserve">Expatriate Appeal:</w:t>
      </w:r>
      <w:r>
        <w:t xml:space="preserve"> </w:t>
      </w:r>
      <w:r>
        <w:t xml:space="preserve">To capture the expat community prevalent in KL, shelves were stocked with imported international brands of skincare and baby care products that were often difficult to find elsewhere.</w:t>
      </w:r>
    </w:p>
    <w:bookmarkEnd w:id="27"/>
    <w:bookmarkStart w:id="28" w:name="c.-community-centric-staff-training"/>
    <w:p>
      <w:pPr>
        <w:pStyle w:val="Heading3"/>
      </w:pPr>
      <w:r>
        <w:t xml:space="preserve">C. Community-Centric Staff Training</w:t>
      </w:r>
    </w:p>
    <w:p>
      <w:pPr>
        <w:pStyle w:val="FirstParagraph"/>
      </w:pPr>
      <w:r>
        <w:t xml:space="preserve">The human element remained paramount. Pharmacists underwent specialized training in cross-cultural communication. They were trained to understand not just the medical aspect of prescriptions but the cultural context of health management in Malaysia. This empathy-driven approach built trust, a critical currency for any successful</w:t>
      </w:r>
      <w:r>
        <w:t xml:space="preserve"> </w:t>
      </w:r>
      <w:r>
        <w:rPr>
          <w:bCs/>
          <w:b/>
        </w:rPr>
        <w:t xml:space="preserve">Chemist</w:t>
      </w:r>
      <w:r>
        <w:t xml:space="preserve"> </w:t>
      </w:r>
      <w:r>
        <w:t xml:space="preserve">business.</w:t>
      </w:r>
    </w:p>
    <w:bookmarkEnd w:id="28"/>
    <w:bookmarkEnd w:id="29"/>
    <w:bookmarkStart w:id="30" w:name="implementation-and-results"/>
    <w:p>
      <w:pPr>
        <w:pStyle w:val="Heading2"/>
      </w:pPr>
      <w:r>
        <w:t xml:space="preserve">Implementation and Results</w:t>
      </w:r>
    </w:p>
    <w:p>
      <w:pPr>
        <w:pStyle w:val="FirstParagraph"/>
      </w:pPr>
      <w:r>
        <w:t xml:space="preserve">The rollout began with flagship stores in Bangsar and Mont Kiara. Within six months, the integration of the digital platform resulted in a 40% reduction in queue times for prescription pickups. The localized product strategy led to a 25% increase in basket size, as customers purchased complementary wellness items alongside their medications.</w:t>
      </w:r>
    </w:p>
    <w:p>
      <w:pPr>
        <w:pStyle w:val="BodyText"/>
      </w:pPr>
      <w:r>
        <w:t xml:space="preserve">By the end of the first year, MediCare Plus had secured a loyal customer base across three major districts of</w:t>
      </w:r>
      <w:r>
        <w:t xml:space="preserve"> </w:t>
      </w:r>
      <w:r>
        <w:rPr>
          <w:bCs/>
          <w:b/>
        </w:rPr>
        <w:t xml:space="preserve">Malaysia Kuala Lumpur</w:t>
      </w:r>
      <w:r>
        <w:t xml:space="preserve">. Key performance indicators included:</w:t>
      </w:r>
    </w:p>
    <w:p>
      <w:pPr>
        <w:numPr>
          <w:ilvl w:val="0"/>
          <w:numId w:val="1002"/>
        </w:numPr>
        <w:pStyle w:val="Compact"/>
      </w:pPr>
      <w:r>
        <w:rPr>
          <w:bCs/>
          <w:b/>
        </w:rPr>
        <w:t xml:space="preserve">Customer Retention:</w:t>
      </w:r>
      <w:r>
        <w:t xml:space="preserve"> </w:t>
      </w:r>
      <w:r>
        <w:t xml:space="preserve">Increased by 30% due to the loyalty program integrated with the mobile app.</w:t>
      </w:r>
    </w:p>
    <w:p>
      <w:pPr>
        <w:numPr>
          <w:ilvl w:val="0"/>
          <w:numId w:val="1002"/>
        </w:numPr>
        <w:pStyle w:val="Compact"/>
      </w:pPr>
      <w:r>
        <w:br/>
      </w:r>
      <w:r>
        <w:t xml:space="preserve">Digital Sales: Online prescriptions accounted for 45% of total revenue, demonstrating a successful adaptation to urban lifestyles.</w:t>
      </w:r>
    </w:p>
    <w:p>
      <w:pPr>
        <w:numPr>
          <w:ilvl w:val="0"/>
          <w:numId w:val="1002"/>
        </w:numPr>
        <w:pStyle w:val="Compact"/>
      </w:pPr>
      <w:r>
        <w:rPr>
          <w:bCs/>
          <w:b/>
        </w:rPr>
        <w:t xml:space="preserve">Social Sentiment:</w:t>
      </w:r>
      <w:r>
        <w:t xml:space="preserve"> </w:t>
      </w:r>
      <w:r>
        <w:t xml:space="preserve">Positive reviews on local social media platforms highlighted the staff's cultural sensitivity and the store's cleanliness and modernity, reinforcing the brand image.</w:t>
      </w:r>
    </w:p>
    <w:bookmarkEnd w:id="30"/>
    <w:bookmarkStart w:id="31" w:name="lessons-learned-for-future-expansion"/>
    <w:p>
      <w:pPr>
        <w:pStyle w:val="Heading2"/>
      </w:pPr>
      <w:r>
        <w:t xml:space="preserve">Lessons Learned for Future Expansion</w:t>
      </w:r>
    </w:p>
    <w:p>
      <w:pPr>
        <w:pStyle w:val="FirstParagraph"/>
      </w:pPr>
      <w:r>
        <w:t xml:space="preserve">This case study underscores that a traditional model of operating a</w:t>
      </w:r>
      <w:r>
        <w:t xml:space="preserve"> </w:t>
      </w:r>
      <w:r>
        <w:rPr>
          <w:bCs/>
          <w:b/>
        </w:rPr>
        <w:t xml:space="preserve">Chemist</w:t>
      </w:r>
      <w:r>
        <w:t xml:space="preserve">Malaysia Kuala Lumpur</w:t>
      </w:r>
      <w:r>
        <w:t xml:space="preserve">demonstrates the necessity of blending physical retail presence with robust digital infrastructure.</w:t>
      </w:r>
    </w:p>
    <w:p>
      <w:pPr>
        <w:pStyle w:val="BodyText"/>
      </w:pPr>
      <w:r>
        <w:t xml:space="preserve">Furthermore, it highlights that understanding the local demographic fabric is not optional but essential. In a diverse city like KL, ignoring cultural nuances can lead to inventory mismatches and missed sales opportunities. The most successful healthcare retailers are those that view their</w:t>
      </w:r>
      <w:r>
        <w:t xml:space="preserve"> </w:t>
      </w:r>
      <w:r>
        <w:rPr>
          <w:bCs/>
          <w:b/>
        </w:rPr>
        <w:t xml:space="preserve">Chemist</w:t>
      </w:r>
      <w:r>
        <w:t xml:space="preserve"> </w:t>
      </w:r>
      <w:r>
        <w:t xml:space="preserve">stores as community health centers rather than just retail outlets.</w:t>
      </w:r>
    </w:p>
    <w:bookmarkEnd w:id="31"/>
    <w:bookmarkStart w:id="32" w:name="conclusion"/>
    <w:p>
      <w:pPr>
        <w:pStyle w:val="Heading2"/>
      </w:pPr>
      <w:r>
        <w:t xml:space="preserve">Conclusion</w:t>
      </w:r>
    </w:p>
    <w:p>
      <w:pPr>
        <w:pStyle w:val="FirstParagraph"/>
      </w:pPr>
      <w:r>
        <w:t xml:space="preserve">The expansion of MediCare Plus in</w:t>
      </w:r>
      <w:r>
        <w:t xml:space="preserve"> </w:t>
      </w:r>
      <w:r>
        <w:rPr>
          <w:bCs/>
          <w:b/>
        </w:rPr>
        <w:t xml:space="preserve">Malaysia Kuala Lumpur</w:t>
      </w:r>
      <w:r>
        <w:t xml:space="preserve">serves as a blueprint for modern pharmacy management. By embracing technology, respecting cultural diversity, and prioritizing customer convenience, the company transformed from a regional player into an urban healthcare leader. As other retailers look to enter Southeast Asian markets, this case study proves that the future of the</w:t>
      </w:r>
      <w:r>
        <w:t xml:space="preserve"> </w:t>
      </w:r>
      <w:r>
        <w:rPr>
          <w:bCs/>
          <w:b/>
        </w:rPr>
        <w:t xml:space="preserve">Chemist</w:t>
      </w:r>
      <w:r>
        <w:t xml:space="preserve">business lies in adaptability and deep local engagement.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Premium Chemist in Malaysia Kuala Lumpur</dc:title>
  <dc:creator/>
  <dc:language>en</dc:language>
  <cp:keywords/>
  <dcterms:created xsi:type="dcterms:W3CDTF">2026-07-29T03:25:58Z</dcterms:created>
  <dcterms:modified xsi:type="dcterms:W3CDTF">2026-07-29T03:25:58Z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