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Qatar</w:t>
      </w:r>
      <w:r>
        <w:t xml:space="preserve"> </w:t>
      </w:r>
      <w:r>
        <w:t xml:space="preserve">Doha</w:t>
      </w:r>
    </w:p>
    <w:bookmarkStart w:id="39" w:name="X4b8f15e6a88507502b40fb51bf87a6ab732f0d0"/>
    <w:p>
      <w:pPr>
        <w:pStyle w:val="Heading1"/>
      </w:pPr>
      <w:r>
        <w:t xml:space="preserve">Case Study: Strategic Expansion of a Specialist Chemist in the Healthcare Landscape of Qatar Doha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Strategy for a New Chemist Branch</w:t>
      </w:r>
      <w:r>
        <w:br/>
      </w:r>
      <w:r>
        <w:rPr>
          <w:bCs/>
          <w:b/>
        </w:rPr>
        <w:t xml:space="preserve">Locus:</w:t>
      </w:r>
    </w:p>
    <w:p>
      <w:pPr>
        <w:pStyle w:val="BlockText"/>
      </w:pPr>
      <w:r>
        <w:t xml:space="preserve">"In the rapidly evolving healthcare ecosystem of Qatar Doha, the integration of technological innovation with traditional pharmaceutical care is not merely an option but a necessity for sustainable growth. This case study explores how establishing a modern</w:t>
      </w:r>
      <w:r>
        <w:t xml:space="preserve"> </w:t>
      </w:r>
      <w:r>
        <w:rPr>
          <w:bCs/>
          <w:b/>
        </w:rPr>
        <w:t xml:space="preserve">Chemist</w:t>
      </w:r>
      <w:r>
        <w:t xml:space="preserve"> </w:t>
      </w:r>
      <w:r>
        <w:t xml:space="preserve">in</w:t>
      </w:r>
      <w:r>
        <w:t xml:space="preserve"> </w:t>
      </w:r>
      <w:r>
        <w:rPr>
          <w:bCs/>
          <w:b/>
        </w:rPr>
        <w:t xml:space="preserve">Qatar Doha</w:t>
      </w:r>
      <w:r>
        <w:t xml:space="preserve"> </w:t>
      </w:r>
      <w:r>
        <w:t xml:space="preserve">can leverage local regulatory frameworks and demographic shifts to become a market leader."</w:t>
      </w:r>
    </w:p>
    <w:bookmarkStart w:id="21" w:name="section"/>
    <w:p>
      <w:pPr>
        <w:pStyle w:val="Heading2"/>
      </w:pPr>
      <w:bookmarkStart w:id="20" w:name="introduction"/>
      <w:bookmarkEnd w:id="20"/>
    </w:p>
    <w:p>
      <w:pPr>
        <w:pStyle w:val="FirstParagraph"/>
      </w:pPr>
      <w:r>
        <w:t xml:space="preserve">This document provides a comprehensive analysis of the opportunities and challenges associated with launching a new pharmaceutical retail branch, herein referred to as the</w:t>
      </w:r>
      <w:r>
        <w:t xml:space="preserve"> </w:t>
      </w:r>
      <w:r>
        <w:rPr>
          <w:bCs/>
          <w:b/>
        </w:rPr>
        <w:t xml:space="preserve">Chemist</w:t>
      </w:r>
      <w:r>
        <w:t xml:space="preserve">, within the capital city of</w:t>
      </w:r>
      <w:r>
        <w:t xml:space="preserve"> </w:t>
      </w:r>
      <w:r>
        <w:rPr>
          <w:bCs/>
          <w:b/>
        </w:rPr>
        <w:t xml:space="preserve">Qatar Doha</w:t>
      </w:r>
      <w:r>
        <w:t xml:space="preserve">. The purpose of this case study is to outline strategic positioning, regulatory compliance, market dynamics specific to</w:t>
      </w:r>
    </w:p>
    <w:p>
      <w:pPr>
        <w:pStyle w:val="BodyText"/>
      </w:pPr>
      <w:r>
        <w:t xml:space="preserve">Qatar Doha</w:t>
      </w:r>
    </w:p>
    <w:bookmarkEnd w:id="21"/>
    <w:bookmarkStart w:id="23" w:name="section-1"/>
    <w:p>
      <w:pPr>
        <w:pStyle w:val="Heading2"/>
      </w:pPr>
      <w:bookmarkStart w:id="22" w:name="background"/>
      <w:bookmarkEnd w:id="22"/>
    </w:p>
    <w:p>
      <w:pPr>
        <w:pStyle w:val="FirstParagraph"/>
      </w:pPr>
      <w:r>
        <w:t xml:space="preserve">The healthcare sector in Qatar has undergone significant transformation in recent years, driven largely by the Vision 2030 framework which emphasizes sustainable development and high-quality public services. Within this context, the demand for accessible, high-quality pharmaceutical care has surged.</w:t>
      </w:r>
      <w:r>
        <w:t xml:space="preserve"> </w:t>
      </w:r>
      <w:r>
        <w:rPr>
          <w:bCs/>
          <w:b/>
        </w:rPr>
        <w:t xml:space="preserve">Qatar Doha</w:t>
      </w:r>
      <w:r>
        <w:t xml:space="preserve">, as the economic and cultural hub of the nation, hosts a diverse population comprising expatriates from over 140 nationalities alongside Qatari nationals. This demographic diversity creates a unique marketplace where linguistic capabilities, cultural sensitivity, and specialized product availability are critical success factors.</w:t>
      </w:r>
    </w:p>
    <w:p>
      <w:pPr>
        <w:pStyle w:val="BodyText"/>
      </w:pPr>
      <w:r>
        <w:t xml:space="preserve">The traditional model of retail pharmacy is shifting towards patient-centric care models. Consumers in</w:t>
      </w:r>
      <w:r>
        <w:t xml:space="preserve"> </w:t>
      </w:r>
      <w:r>
        <w:rPr>
          <w:bCs/>
          <w:b/>
        </w:rPr>
        <w:t xml:space="preserve">Qatar Doha</w:t>
      </w:r>
      <w:r>
        <w:t xml:space="preserve"> </w:t>
      </w:r>
      <w:r>
        <w:t xml:space="preserve">are increasingly seeking not just medication dispensing but also health consultations, wellness advice, and access to specialized treatments for chronic conditions such as diabetes and cardiovascular diseases, which have high prevalence rates in the region.</w:t>
      </w:r>
    </w:p>
    <w:bookmarkEnd w:id="23"/>
    <w:bookmarkStart w:id="25" w:name="section-2"/>
    <w:p>
      <w:pPr>
        <w:pStyle w:val="Heading2"/>
      </w:pPr>
      <w:bookmarkStart w:id="24" w:name="problem-statement"/>
      <w:bookmarkEnd w:id="24"/>
    </w:p>
    <w:p>
      <w:pPr>
        <w:pStyle w:val="FirstParagraph"/>
      </w:pPr>
      <w:r>
        <w:t xml:space="preserve">The primary challenge identified is the saturation of basic pharmaceutical services in certain areas of</w:t>
      </w:r>
      <w:r>
        <w:t xml:space="preserve"> </w:t>
      </w:r>
      <w:r>
        <w:rPr>
          <w:bCs/>
          <w:b/>
        </w:rPr>
        <w:t xml:space="preserve">Qatar Doha</w:t>
      </w:r>
      <w:r>
        <w:t xml:space="preserve">, contrasted with a shortage of specialized, value-added pharmacy services in emerging residential districts. Many existing pharmacies operate on high-volume, low-margin models that do not fully utilize pharmacist expertise. The gap lies in the provision of integrated health solutions where the</w:t>
      </w:r>
    </w:p>
    <w:p>
      <w:pPr>
        <w:pStyle w:val="BodyText"/>
      </w:pPr>
      <w:r>
        <w:t xml:space="preserve">Chemist</w:t>
      </w:r>
    </w:p>
    <w:bookmarkEnd w:id="25"/>
    <w:bookmarkStart w:id="27" w:name="section-3"/>
    <w:p>
      <w:pPr>
        <w:pStyle w:val="Heading2"/>
      </w:pPr>
      <w:bookmarkStart w:id="26" w:name="objectives"/>
      <w:bookmarkEnd w:id="26"/>
    </w:p>
    <w:p>
      <w:pPr>
        <w:pStyle w:val="FirstParagraph"/>
      </w:pPr>
      <w:r>
        <w:t xml:space="preserve">To establish a brand identity for the new</w:t>
      </w:r>
      <w:r>
        <w:t xml:space="preserve"> </w:t>
      </w:r>
      <w:r>
        <w:rPr>
          <w:bCs/>
          <w:b/>
        </w:rPr>
        <w:t xml:space="preserve">Chemist</w:t>
      </w:r>
      <w:r>
        <w:t xml:space="preserve"> </w:t>
      </w:r>
      <w:r>
        <w:t xml:space="preserve">that resonates with both local Qatari culture and international expatriate communities in</w:t>
      </w:r>
      <w:r>
        <w:t xml:space="preserve"> </w:t>
      </w:r>
      <w:r>
        <w:rPr>
          <w:bCs/>
          <w:b/>
        </w:rPr>
        <w:t xml:space="preserve">Qatar Doha</w:t>
      </w:r>
      <w:r>
        <w:t xml:space="preserve">.</w:t>
      </w:r>
    </w:p>
    <w:p>
      <w:pPr>
        <w:pStyle w:val="BodyText"/>
      </w:pPr>
      <w:r>
        <w:t xml:space="preserve">To implement a digital-first infrastructure that allows for seamless online ordering, prescription management, and home delivery across</w:t>
      </w:r>
    </w:p>
    <w:p>
      <w:pPr>
        <w:pStyle w:val="BodyText"/>
      </w:pPr>
      <w:r>
        <w:t xml:space="preserve">Qatar Doha</w:t>
      </w:r>
    </w:p>
    <w:bookmarkEnd w:id="27"/>
    <w:bookmarkStart w:id="30" w:name="section-4"/>
    <w:p>
      <w:pPr>
        <w:pStyle w:val="Heading2"/>
      </w:pPr>
      <w:bookmarkStart w:id="28" w:name="methodology"/>
      <w:bookmarkEnd w:id="28"/>
    </w:p>
    <w:p>
      <w:pPr>
        <w:pStyle w:val="FirstParagraph"/>
      </w:pPr>
      <w:r>
        <w:t xml:space="preserve">The strategic approach involves three core pillars: Regulatory Compliance, Technological Integration, and Community Engagement. All operations must adhere strictly to the regulations set by the Ministry of Public Health (MOPH) in Qatar.</w:t>
      </w:r>
    </w:p>
    <w:bookmarkStart w:id="29" w:name="regulatory-landscape-in-qatar-doha"/>
    <w:p>
      <w:pPr>
        <w:pStyle w:val="Heading3"/>
      </w:pPr>
      <w:r>
        <w:t xml:space="preserve">1. Regulatory Landscape in Qatar Doha</w:t>
      </w:r>
    </w:p>
    <w:p>
      <w:pPr>
        <w:pStyle w:val="FirstParagraph"/>
      </w:pPr>
      <w:r>
        <w:t xml:space="preserve">Navigating the legal framework is paramount. The new</w:t>
      </w:r>
      <w:r>
        <w:t xml:space="preserve"> </w:t>
      </w:r>
      <w:r>
        <w:rPr>
          <w:bCs/>
          <w:b/>
        </w:rPr>
        <w:t xml:space="preserve">Chemist</w:t>
      </w:r>
    </w:p>
    <w:p>
      <w:pPr>
        <w:pStyle w:val="BodyText"/>
      </w:pPr>
      <w:r>
        <w:t xml:space="preserve">2. Technology and Digital Health</w:t>
      </w:r>
    </w:p>
    <w:bookmarkEnd w:id="29"/>
    <w:bookmarkEnd w:id="30"/>
    <w:bookmarkStart w:id="32" w:name="section-5"/>
    <w:p>
      <w:pPr>
        <w:pStyle w:val="Heading2"/>
      </w:pPr>
      <w:bookmarkStart w:id="31" w:name="implementation"/>
      <w:bookmarkEnd w:id="31"/>
    </w:p>
    <w:p>
      <w:pPr>
        <w:pStyle w:val="FirstParagraph"/>
      </w:pPr>
      <w:r>
        <w:t xml:space="preserve">The implementation phase begins with site selection in high-traffic areas within</w:t>
      </w:r>
      <w:r>
        <w:t xml:space="preserve"> </w:t>
      </w:r>
      <w:r>
        <w:rPr>
          <w:bCs/>
          <w:b/>
        </w:rPr>
        <w:t xml:space="preserve">Qatar Doha</w:t>
      </w:r>
      <w:r>
        <w:t xml:space="preserve">, such as West Bay or Al Waab, which offer a mix of residential and commercial footfall. The interior design will reflect a blend of modern minimalism and traditional Qatari hospitality elements to foster trust.</w:t>
      </w:r>
    </w:p>
    <w:p>
      <w:pPr>
        <w:pStyle w:val="BodyText"/>
      </w:pPr>
      <w:r>
        <w:t xml:space="preserve">The inventory strategy focuses on stocking international brands alongside generic alternatives approved by MOPH. Special attention is given to cold-chain logistics for vaccines and biologics, ensuring they meet the stringent temperature control requirements mandated in</w:t>
      </w:r>
    </w:p>
    <w:p>
      <w:pPr>
        <w:pStyle w:val="BodyText"/>
      </w:pPr>
      <w:r>
        <w:t xml:space="preserve">Qatar Doha</w:t>
      </w:r>
    </w:p>
    <w:bookmarkEnd w:id="32"/>
    <w:bookmarkStart w:id="34" w:name="section-6"/>
    <w:p>
      <w:pPr>
        <w:pStyle w:val="Heading2"/>
      </w:pPr>
      <w:bookmarkStart w:id="33" w:name="results"/>
      <w:bookmarkEnd w:id="33"/>
    </w:p>
    <w:p>
      <w:pPr>
        <w:pStyle w:val="FirstParagraph"/>
      </w:pPr>
      <w:r>
        <w:t xml:space="preserve">Post-launch analysis indicates that integrating specialized services significantly increased patient retention. The</w:t>
      </w:r>
      <w:r>
        <w:t xml:space="preserve"> </w:t>
      </w:r>
      <w:r>
        <w:rPr>
          <w:bCs/>
          <w:b/>
        </w:rPr>
        <w:t xml:space="preserve">Chemist</w:t>
      </w:r>
    </w:p>
    <w:p>
      <w:pPr>
        <w:pStyle w:val="BodyText"/>
      </w:pPr>
      <w:r>
        <w:t xml:space="preserve">A 40% increase in repeat customers within the first six months.</w:t>
      </w:r>
    </w:p>
    <w:p>
      <w:pPr>
        <w:pStyle w:val="BodyText"/>
      </w:pPr>
      <w:r>
        <w:t xml:space="preserve">A significant reduction in prescription error rates due to automated checks.</w:t>
      </w:r>
    </w:p>
    <w:p>
      <w:pPr>
        <w:pStyle w:val="BodyText"/>
      </w:pPr>
      <w:r>
        <w:t xml:space="preserve">Premium pricing power justified by superior service quality compared to standard pharmacies in</w:t>
      </w:r>
    </w:p>
    <w:p>
      <w:pPr>
        <w:pStyle w:val="BodyText"/>
      </w:pPr>
      <w:r>
        <w:t xml:space="preserve">Qatar Doha</w:t>
      </w:r>
    </w:p>
    <w:bookmarkEnd w:id="34"/>
    <w:bookmarkStart w:id="36" w:name="section-7"/>
    <w:p>
      <w:pPr>
        <w:pStyle w:val="Heading2"/>
      </w:pPr>
      <w:bookmarkStart w:id="35" w:name="challenges"/>
      <w:bookmarkEnd w:id="35"/>
    </w:p>
    <w:p>
      <w:pPr>
        <w:pStyle w:val="FirstParagraph"/>
      </w:pPr>
      <w:r>
        <w:t xml:space="preserve">The project faced hurdles, including supply chain disruptions affecting international imports into</w:t>
      </w:r>
      <w:r>
        <w:t xml:space="preserve"> </w:t>
      </w:r>
      <w:r>
        <w:rPr>
          <w:bCs/>
          <w:b/>
        </w:rPr>
        <w:t xml:space="preserve">Qatar Doha</w:t>
      </w:r>
      <w:r>
        <w:t xml:space="preserve">. This was mitigated by establishing local distribution partnerships. Additionally, recruiting pharmacists fluent in both Arabic and English proved challenging but was addressed through competitive salary packages and professional development opportunities.</w:t>
      </w:r>
    </w:p>
    <w:bookmarkEnd w:id="36"/>
    <w:bookmarkStart w:id="38" w:name="section-8"/>
    <w:p>
      <w:pPr>
        <w:pStyle w:val="Heading2"/>
      </w:pPr>
      <w:bookmarkStart w:id="37" w:name="conclusion"/>
      <w:bookmarkEnd w:id="37"/>
    </w:p>
    <w:p>
      <w:pPr>
        <w:pStyle w:val="FirstParagraph"/>
      </w:pPr>
      <w:r>
        <w:t xml:space="preserve">This case study demonstrates that a well-positioned</w:t>
      </w:r>
      <w:r>
        <w:t xml:space="preserve"> </w:t>
      </w:r>
      <w:r>
        <w:rPr>
          <w:bCs/>
          <w:b/>
        </w:rPr>
        <w:t xml:space="preserve">Chemist</w:t>
      </w:r>
      <w:r>
        <w:t xml:space="preserve"> </w:t>
      </w:r>
      <w:r>
        <w:t xml:space="preserve">can thrive in the competitive market of</w:t>
      </w:r>
      <w:r>
        <w:t xml:space="preserve"> </w:t>
      </w:r>
      <w:r>
        <w:rPr>
          <w:bCs/>
          <w:b/>
        </w:rPr>
        <w:t xml:space="preserve">Qatar Doha</w:t>
      </w:r>
      <w:r>
        <w:t xml:space="preserve">. By moving beyond transactional sales to become a healthcare partner, the business captures value through trust and expertise. The success of this venture is contingent upon strict adherence to local regulations, aggressive digital adoption, and deep cultural integration within</w:t>
      </w:r>
    </w:p>
    <w:p>
      <w:pPr>
        <w:pStyle w:val="BodyText"/>
      </w:pPr>
      <w:r>
        <w:t xml:space="preserve">Qatar Doha</w:t>
      </w:r>
    </w:p>
    <w:p>
      <w:pPr>
        <w:pStyle w:val="BodyText"/>
      </w:pPr>
      <w:r>
        <w:t xml:space="preserve">The findings suggest that other international pharmacy chains looking to expand in the GCC region should study this model as a blueprint for balancing operational efficiency with personalized patient care in the Middle Eastern market.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Chemist in Qatar Doha</dc:title>
  <dc:creator/>
  <dc:language>en</dc:language>
  <cp:keywords/>
  <dcterms:created xsi:type="dcterms:W3CDTF">2026-07-29T15:39:07Z</dcterms:created>
  <dcterms:modified xsi:type="dcterms:W3CDTF">2026-07-29T15:39:07Z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