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of</w:t>
      </w:r>
      <w:r>
        <w:t xml:space="preserve"> </w:t>
      </w:r>
      <w:r>
        <w:t xml:space="preserve">a</w:t>
      </w:r>
      <w:r>
        <w:t xml:space="preserve"> </w:t>
      </w:r>
      <w:r>
        <w:t xml:space="preserve">Premium</w:t>
      </w:r>
      <w:r>
        <w:t xml:space="preserve"> </w:t>
      </w:r>
      <w:r>
        <w:t xml:space="preserve">Chemist</w:t>
      </w:r>
      <w:r>
        <w:t xml:space="preserve"> </w:t>
      </w:r>
      <w:r>
        <w:t xml:space="preserve">in</w:t>
      </w:r>
      <w:r>
        <w:t xml:space="preserve"> </w:t>
      </w:r>
      <w:r>
        <w:t xml:space="preserve">Turkey,</w:t>
      </w:r>
      <w:r>
        <w:t xml:space="preserve"> </w:t>
      </w:r>
      <w:r>
        <w:t xml:space="preserve">Ankara</w:t>
      </w:r>
    </w:p>
    <w:bookmarkStart w:id="31" w:name="Xb5859acca30014857937f03edb16dbb0f463eb8"/>
    <w:p>
      <w:pPr>
        <w:pStyle w:val="Heading1"/>
      </w:pPr>
      <w:r>
        <w:t xml:space="preserve">Case Study: Strategic Expansion of a Premium Chemist in Turkey, Ankara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Post-Launch Analysis</w:t>
      </w:r>
      <w:r>
        <w:br/>
      </w:r>
    </w:p>
    <w:p>
      <w:pPr>
        <w:pStyle w:val="BodyText"/>
      </w:pPr>
    </w:p>
    <w:p>
      <w:pPr>
        <w:pStyle w:val="BodyText"/>
      </w:pPr>
      <w:r>
        <w:t xml:space="preserve">The following case study details the strategic planning, market entry challenges, and operational successes of launching a modern pharmacy retail chain in the capital region of Turkey. This document explores how understanding local consumer behavior, regulatory frameworks specific to Turkey Ankara was critical to achieving sustainable growth.</w:t>
      </w:r>
    </w:p>
    <w:bookmarkStart w:id="20" w:name="executive-summary"/>
    <w:p>
      <w:pPr>
        <w:pStyle w:val="Heading2"/>
      </w:pPr>
      <w:r>
        <w:t xml:space="preserve">1. Executive Summary</w:t>
      </w:r>
    </w:p>
    <w:p>
      <w:pPr>
        <w:pStyle w:val="FirstParagraph"/>
      </w:pPr>
      <w:r>
        <w:t xml:space="preserve">The pharmaceutical retail sector in Turkey has undergone significant transformation over the last decade, driven by an increasingly health-conscious population and digital integration. This Case Study analyzes the journey of "VitaCare Pharmacy," a fictional yet representative entity that successfully established its flagship location in Turkey Ankara. The primary objective was to bridge the gap between traditional drugstore services and modern wellness retailing.</w:t>
      </w:r>
    </w:p>
    <w:p>
      <w:pPr>
        <w:pStyle w:val="BodyText"/>
      </w:pPr>
      <w:r>
        <w:t xml:space="preserve">Ankara, as the political and administrative heart of Turkey, presents a unique demographic profile compared to Istanbul or Izmir. It is characterized by a stable civil service population, a growing university student community from Ankara University and Bilkent University, and families with high disposable incomes. VitaCare’s success in this region serves as a blueprint for how a Chemist brand can adapt to the specific nuances of Turkey Ankara.</w:t>
      </w:r>
    </w:p>
    <w:bookmarkEnd w:id="20"/>
    <w:bookmarkStart w:id="21" w:name="Xc1b552b59ec9bbb11653ecef16c4221e8d9a990"/>
    <w:p>
      <w:pPr>
        <w:pStyle w:val="Heading2"/>
      </w:pPr>
      <w:r>
        <w:t xml:space="preserve">2. Market Context: The Turkey Ankara Landscape</w:t>
      </w:r>
    </w:p>
    <w:p>
      <w:pPr>
        <w:pStyle w:val="FirstParagraph"/>
      </w:pPr>
      <w:r>
        <w:t xml:space="preserve">To succeed, any retail enterprise must deeply understand its geographical context. In the case of Turkey Ankara, several distinct factors influenced the business model:</w:t>
      </w:r>
    </w:p>
    <w:p>
      <w:pPr>
        <w:numPr>
          <w:ilvl w:val="0"/>
          <w:numId w:val="1001"/>
        </w:numPr>
        <w:pStyle w:val="Compact"/>
      </w:pPr>
      <w:r>
        <w:rPr>
          <w:bCs/>
          <w:b/>
        </w:rPr>
        <w:t xml:space="preserve">Demographic Stability:</w:t>
      </w:r>
      <w:r>
        <w:t xml:space="preserve"> </w:t>
      </w:r>
      <w:r>
        <w:t xml:space="preserve">Unlike coastal tourist destinations that fluctuate seasonally, Turkey Ankara offers year-round stability. The presence of government employees and diplomatic corps creates a customer base with consistent purchasing power.</w:t>
      </w:r>
    </w:p>
    <w:p>
      <w:pPr>
        <w:numPr>
          <w:ilvl w:val="0"/>
          <w:numId w:val="1001"/>
        </w:numPr>
        <w:pStyle w:val="Compact"/>
      </w:pPr>
      <w:r>
        <w:rPr>
          <w:bCs/>
          <w:b/>
        </w:rPr>
        <w:t xml:space="preserve">Educational Hub:</w:t>
      </w:r>
      <w:r>
        <w:t xml:space="preserve"> </w:t>
      </w:r>
      <w:r>
        <w:t xml:space="preserve">With thousands of students residing in districts such as Çankaya and Yenimahalle, there is a high demand for affordable health products, cosmetics, and quick-service pharmacy options.</w:t>
      </w:r>
    </w:p>
    <w:p>
      <w:pPr>
        <w:numPr>
          <w:ilvl w:val="0"/>
          <w:numId w:val="1001"/>
        </w:numPr>
        <w:pStyle w:val="Compact"/>
      </w:pPr>
      <w:r>
        <w:rPr>
          <w:bCs/>
          <w:b/>
        </w:rPr>
        <w:t xml:space="preserve">Climatic Considerations:</w:t>
      </w:r>
      <w:r>
        <w:t xml:space="preserve"> </w:t>
      </w:r>
      <w:r>
        <w:t xml:space="preserve">Ankara experiences hot summers and cold winters. This seasonal variation impacts consumer needs, requiring the Chemist to stock diverse inventory ranging from sun protection in July to flu remedies and moisturizers in January.</w:t>
      </w:r>
    </w:p>
    <w:bookmarkEnd w:id="21"/>
    <w:bookmarkStart w:id="25" w:name="challenges-identified"/>
    <w:p>
      <w:pPr>
        <w:pStyle w:val="Heading2"/>
      </w:pPr>
      <w:r>
        <w:t xml:space="preserve">3. Challenges Identified</w:t>
      </w:r>
    </w:p>
    <w:p>
      <w:pPr>
        <w:pStyle w:val="FirstParagraph"/>
      </w:pPr>
      <w:r>
        <w:t xml:space="preserve">The expansion into Turkey Ankara was not without hurdles. The Case Study identifies three primary challenges:</w:t>
      </w:r>
    </w:p>
    <w:bookmarkStart w:id="22" w:name="a.-regulatory-compliance"/>
    <w:p>
      <w:pPr>
        <w:pStyle w:val="Heading3"/>
      </w:pPr>
      <w:r>
        <w:t xml:space="preserve">A. Regulatory Compliance</w:t>
      </w:r>
    </w:p>
    <w:p>
      <w:pPr>
        <w:pStyle w:val="FirstParagraph"/>
      </w:pPr>
      <w:r>
        <w:t xml:space="preserve">The Turkish Ministry of Health enforces strict regulations regarding pharmacy operations, including operating hours, distance requirements between pharmacies (the "pharmacy spacing law"), and pricing controls on essential medicines. Navigating the bureaucracy to secure licenses in Ankara required significant legal resources and local expertise.</w:t>
      </w:r>
    </w:p>
    <w:bookmarkEnd w:id="22"/>
    <w:bookmarkStart w:id="23" w:name="b.-competition-from-established-chains"/>
    <w:p>
      <w:pPr>
        <w:pStyle w:val="Heading3"/>
      </w:pPr>
      <w:r>
        <w:t xml:space="preserve">B. Competition from Established Chains</w:t>
      </w:r>
    </w:p>
    <w:p>
      <w:pPr>
        <w:pStyle w:val="FirstParagraph"/>
      </w:pPr>
      <w:r>
        <w:t xml:space="preserve">Turkey’s retail pharmacy sector is dominated by large chains such as Acibadem Pharmacies, Eczane 212, and Derman. These competitors already held prime real estate locations in Turkey Ankara’s high-traffic areas. VitaCare had to differentiate itself not just on price, but on service quality and product curation.</w:t>
      </w:r>
    </w:p>
    <w:bookmarkEnd w:id="23"/>
    <w:bookmarkStart w:id="24" w:name="c.-consumer-trust"/>
    <w:p>
      <w:pPr>
        <w:pStyle w:val="Heading3"/>
      </w:pPr>
      <w:r>
        <w:t xml:space="preserve">C. Consumer Trust</w:t>
      </w:r>
    </w:p>
    <w:p>
      <w:pPr>
        <w:pStyle w:val="FirstParagraph"/>
      </w:pPr>
      <w:r>
        <w:t xml:space="preserve">In Turkish culture, the relationship between a patient and their chemist is deeply personal and trust-based. Patients often consult pharmacists for minor ailments without seeing a doctor. Establishing this trust in a new brand required time, community engagement, and hiring highly qualified local staff.</w:t>
      </w:r>
    </w:p>
    <w:bookmarkEnd w:id="24"/>
    <w:bookmarkEnd w:id="25"/>
    <w:bookmarkStart w:id="26" w:name="strategic-solutions-implemented"/>
    <w:p>
      <w:pPr>
        <w:pStyle w:val="Heading2"/>
      </w:pPr>
      <w:r>
        <w:t xml:space="preserve">4. Strategic Solutions Implemented</w:t>
      </w:r>
    </w:p>
    <w:p>
      <w:pPr>
        <w:pStyle w:val="FirstParagraph"/>
      </w:pPr>
      <w:r>
        <w:t xml:space="preserve">VitaCare adopted a multi-faceted strategy tailored specifically to the Turkey Ankara market.</w:t>
      </w:r>
    </w:p>
    <w:p>
      <w:pPr>
        <w:numPr>
          <w:ilvl w:val="0"/>
          <w:numId w:val="1002"/>
        </w:numPr>
        <w:pStyle w:val="Compact"/>
      </w:pPr>
      <w:r>
        <w:rPr>
          <w:bCs/>
          <w:b/>
        </w:rPr>
        <w:t xml:space="preserve">Differentiated Product Mix:</w:t>
      </w:r>
      <w:r>
        <w:t xml:space="preserve"> </w:t>
      </w:r>
      <w:r>
        <w:t xml:space="preserve">While maintaining a full range of prescription drugs, VitaCare dedicated 40% of its floor space to "Wellness and Aesthetics." Recognizing the high interest in dermatology and skincare among Ankara’s affluent demographic, the Chemist partnered with premium Turkish brands (like Defne) and international cosmetic lines.</w:t>
      </w:r>
    </w:p>
    <w:p>
      <w:pPr>
        <w:numPr>
          <w:ilvl w:val="0"/>
          <w:numId w:val="1002"/>
        </w:numPr>
        <w:pStyle w:val="Compact"/>
      </w:pPr>
      <w:r>
        <w:rPr>
          <w:bCs/>
          <w:b/>
        </w:rPr>
        <w:t xml:space="preserve">Digital Integration:</w:t>
      </w:r>
      <w:r>
        <w:t xml:space="preserve"> </w:t>
      </w:r>
      <w:r>
        <w:t xml:space="preserve">To compete with larger chains, VitaCare implemented a user-friendly mobile app for prescription refills and home delivery. This was particularly effective in Turkey Ankara’s sprawling districts, where parking can be difficult during peak hours.</w:t>
      </w:r>
    </w:p>
    <w:p>
      <w:pPr>
        <w:numPr>
          <w:ilvl w:val="0"/>
          <w:numId w:val="1002"/>
        </w:numPr>
        <w:pStyle w:val="Compact"/>
      </w:pPr>
      <w:r>
        <w:rPr>
          <w:bCs/>
          <w:b/>
        </w:rPr>
        <w:t xml:space="preserve">Community-Centric Staffing:</w:t>
      </w:r>
      <w:r>
        <w:t xml:space="preserve"> </w:t>
      </w:r>
      <w:r>
        <w:t xml:space="preserve">The hiring process focused on employing pharmacists from Ankara University who understood the local dialect and cultural nuances. These staff members were trained not just in medicine, but in customer service and health consultation.</w:t>
      </w:r>
    </w:p>
    <w:p>
      <w:pPr>
        <w:numPr>
          <w:ilvl w:val="0"/>
          <w:numId w:val="1002"/>
        </w:numPr>
        <w:pStyle w:val="Compact"/>
      </w:pPr>
      <w:r>
        <w:rPr>
          <w:bCs/>
          <w:b/>
        </w:rPr>
        <w:t xml:space="preserve">Strategic Location:</w:t>
      </w:r>
      <w:r>
        <w:t xml:space="preserve">The flagship store was located near a major hospital complex in Çankaya. This proximity allowed VitaCare to capture post-discharge patients who required immediate medication and care products.</w:t>
      </w:r>
    </w:p>
    <w:bookmarkEnd w:id="26"/>
    <w:bookmarkStart w:id="27" w:name="operational-results"/>
    <w:p>
      <w:pPr>
        <w:pStyle w:val="Heading2"/>
      </w:pPr>
      <w:r>
        <w:t xml:space="preserve">5. Operational Results</w:t>
      </w:r>
    </w:p>
    <w:p>
      <w:pPr>
        <w:pStyle w:val="FirstParagraph"/>
      </w:pPr>
      <w:r>
        <w:t xml:space="preserve">Six months after opening in Turkey Ankara, the Case Study data reveals promising outcomes:</w:t>
      </w:r>
    </w:p>
    <w:p>
      <w:pPr>
        <w:numPr>
          <w:ilvl w:val="0"/>
          <w:numId w:val="1003"/>
        </w:numPr>
        <w:pStyle w:val="Compact"/>
      </w:pPr>
      <w:r>
        <w:rPr>
          <w:bCs/>
          <w:b/>
        </w:rPr>
        <w:t xml:space="preserve">Sales Growth:</w:t>
      </w:r>
      <w:r>
        <w:t xml:space="preserve">VitaCare achieved 115% of its projected revenue targets within the first quarter.</w:t>
      </w:r>
    </w:p>
    <w:p>
      <w:pPr>
        <w:numPr>
          <w:ilvl w:val="0"/>
          <w:numId w:val="1003"/>
        </w:numPr>
        <w:pStyle w:val="Compact"/>
      </w:pPr>
      <w:r>
        <w:rPr>
          <w:bCs/>
          <w:b/>
        </w:rPr>
        <w:t xml:space="preserve">Customer Retention:</w:t>
      </w:r>
      <w:r>
        <w:t xml:space="preserve">The loyalty program, which offered discounts on seasonal health packages (e.g., "Winter Immunity Kit"), resulted in a 30% repeat customer rate.</w:t>
      </w:r>
    </w:p>
    <w:p>
      <w:pPr>
        <w:numPr>
          <w:ilvl w:val="0"/>
          <w:numId w:val="1003"/>
        </w:numPr>
        <w:pStyle w:val="Compact"/>
      </w:pPr>
      <w:r>
        <w:rPr>
          <w:bCs/>
          <w:b/>
        </w:rPr>
        <w:t xml:space="preserve">Patient Satisfaction:</w:t>
      </w:r>
      <w:r>
        <w:t xml:space="preserve"> </w:t>
      </w:r>
      <w:r>
        <w:t xml:space="preserve">Surveys indicated a 4.8/5 rating for pharmacist consultation quality, highlighting the success of the staffing strategy.</w:t>
      </w:r>
    </w:p>
    <w:p>
      <w:pPr>
        <w:pStyle w:val="FirstParagraph"/>
      </w:pPr>
    </w:p>
    <w:p>
      <w:pPr>
        <w:pStyle w:val="BodyText"/>
      </w:pPr>
      <w:r>
        <w:t xml:space="preserve">The "Ankara Model" of Success</w:t>
      </w:r>
      <w:r>
        <w:t xml:space="preserve"> </w:t>
      </w:r>
      <w:r>
        <w:t xml:space="preserve">The success in Turkey Ankara demonstrates that a Chemist brand does not need to be the cheapest option to win market share. Instead, it must be the most accessible and trustworthy. By aligning its operations with the specific lifestyle and needs of Ankara’s residents, VitaCare created a loyal customer base that transcends transactional relationships.</w:t>
      </w:r>
    </w:p>
    <w:bookmarkEnd w:id="27"/>
    <w:bookmarkStart w:id="28" w:name="key-learnings-for-future-expansion"/>
    <w:p>
      <w:pPr>
        <w:pStyle w:val="Heading2"/>
      </w:pPr>
      <w:r>
        <w:t xml:space="preserve">6. Key Learnings for Future Expansion</w:t>
      </w:r>
    </w:p>
    <w:p>
      <w:pPr>
        <w:pStyle w:val="FirstParagraph"/>
      </w:pPr>
      <w:r>
        <w:t xml:space="preserve">This Case Study offers several actionable insights for other businesses looking to enter similar markets in Turkey:</w:t>
      </w:r>
    </w:p>
    <w:p>
      <w:pPr>
        <w:numPr>
          <w:ilvl w:val="0"/>
          <w:numId w:val="1004"/>
        </w:numPr>
        <w:pStyle w:val="Compact"/>
      </w:pPr>
      <w:r>
        <w:rPr>
          <w:bCs/>
          <w:b/>
        </w:rPr>
        <w:t xml:space="preserve">Nuance Matters:</w:t>
      </w:r>
      <w:r>
        <w:t xml:space="preserve">A one-size-fits-all approach to the Turkish market fails. Each city, and even each district within a city like Ankara, has unique characteristics.</w:t>
      </w:r>
    </w:p>
    <w:p>
      <w:pPr>
        <w:numPr>
          <w:ilvl w:val="0"/>
          <w:numId w:val="1004"/>
        </w:numPr>
        <w:pStyle w:val="Compact"/>
      </w:pPr>
      <w:r>
        <w:rPr>
          <w:bCs/>
          <w:b/>
        </w:rPr>
        <w:t xml:space="preserve">Trust is Currency:</w:t>
      </w:r>
      <w:r>
        <w:t xml:space="preserve">In the health sector, reputation is everything. Investing in expert staff yields higher long-term returns than aggressive advertising.</w:t>
      </w:r>
    </w:p>
    <w:p>
      <w:pPr>
        <w:numPr>
          <w:ilvl w:val="0"/>
          <w:numId w:val="1004"/>
        </w:numPr>
        <w:pStyle w:val="Compact"/>
      </w:pPr>
      <w:r>
        <w:rPr>
          <w:bCs/>
          <w:b/>
        </w:rPr>
        <w:t xml:space="preserve">Digital + Physical Hybrid:</w:t>
      </w:r>
      <w:r>
        <w:t xml:space="preserve">The modern Turkey consumer expects seamless integration between online ordering and offline pickup/delivery services.</w:t>
      </w:r>
    </w:p>
    <w:bookmarkEnd w:id="28"/>
    <w:bookmarkStart w:id="29" w:name="conclusion"/>
    <w:p>
      <w:pPr>
        <w:pStyle w:val="Heading2"/>
      </w:pPr>
      <w:r>
        <w:t xml:space="preserve">7. Conclusion</w:t>
      </w:r>
    </w:p>
    <w:p>
      <w:pPr>
        <w:pStyle w:val="FirstParagraph"/>
      </w:pPr>
      <w:r>
        <w:t xml:space="preserve">The expansion of a premium Chemist in Turkey Ankara represents a successful convergence of strategic planning, cultural adaptation, and operational excellence. By respecting the regulatory environment, understanding the unique demographic fabric of Turkey Ankara, and prioritizing consumer trust, VitaCare has established itself as a key player in the region.</w:t>
      </w:r>
    </w:p>
    <w:p>
      <w:pPr>
        <w:pStyle w:val="BodyText"/>
      </w:pPr>
      <w:r>
        <w:t xml:space="preserve">This Case Study serves as evidence that with the right approach, international or new domestic pharmacy brands can thrive in competitive urban centers. The lessons learned here provide a robust framework for future growth not only within Ankara but potentially across other major cities in Turkey, proving that local adaptation is the key to global success.</w:t>
      </w:r>
    </w:p>
    <w:bookmarkEnd w:id="29"/>
    <w:bookmarkStart w:id="30" w:name="recommendations"/>
    <w:p>
      <w:pPr>
        <w:pStyle w:val="Heading2"/>
      </w:pPr>
      <w:r>
        <w:t xml:space="preserve">8. Recommendations</w:t>
      </w:r>
    </w:p>
    <w:p>
      <w:pPr>
        <w:pStyle w:val="FirstParagraph"/>
      </w:pPr>
      <w:r>
        <w:t xml:space="preserve">Based on the findings of this Case Study, it is recommended that:</w:t>
      </w:r>
    </w:p>
    <w:p>
      <w:pPr>
        <w:numPr>
          <w:ilvl w:val="0"/>
          <w:numId w:val="1005"/>
        </w:numPr>
        <w:pStyle w:val="Compact"/>
      </w:pPr>
      <w:r>
        <w:t xml:space="preserve">VitaCare expand its footprint to two additional districts in Turkey Ankara (Keçiören and Mamak) to capture a larger market share.</w:t>
      </w:r>
    </w:p>
    <w:p>
      <w:pPr>
        <w:numPr>
          <w:ilvl w:val="0"/>
          <w:numId w:val="1005"/>
        </w:numPr>
        <w:pStyle w:val="Compact"/>
      </w:pPr>
      <w:r>
        <w:t xml:space="preserve">The company invest further in telemedicine partnerships, allowing patients in remote parts of Turkey Ankara to consult with doctors whose prescriptions are fulfilled at VitaCare.</w:t>
      </w:r>
    </w:p>
    <w:p>
      <w:pPr>
        <w:numPr>
          <w:ilvl w:val="0"/>
          <w:numId w:val="1005"/>
        </w:numPr>
        <w:pStyle w:val="Compact"/>
      </w:pPr>
      <w:r>
        <w:t xml:space="preserve">A continuous feedback loop be established with the local community to adapt product offerings based on emerging health trends specific to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of a Premium Chemist in Turkey, Ankara</dc:title>
  <dc:creator/>
  <dc:language>en</dc:language>
  <cp:keywords/>
  <dcterms:created xsi:type="dcterms:W3CDTF">2026-07-29T11:31:27Z</dcterms:created>
  <dcterms:modified xsi:type="dcterms:W3CDTF">2026-07-29T11:31:27Z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