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w:t>
      </w:r>
      <w:r>
        <w:t xml:space="preserve"> </w:t>
      </w:r>
      <w:r>
        <w:t xml:space="preserve">Entry</w:t>
      </w:r>
      <w:r>
        <w:t xml:space="preserve"> </w:t>
      </w:r>
      <w:r>
        <w:t xml:space="preserve">and</w:t>
      </w:r>
      <w:r>
        <w:t xml:space="preserve"> </w:t>
      </w:r>
      <w:r>
        <w:t xml:space="preserve">Operational</w:t>
      </w:r>
      <w:r>
        <w:t xml:space="preserve"> </w:t>
      </w:r>
      <w:r>
        <w:t xml:space="preserve">Excellence</w:t>
      </w:r>
      <w:r>
        <w:t xml:space="preserve"> </w:t>
      </w:r>
      <w:r>
        <w:t xml:space="preserve">for</w:t>
      </w:r>
      <w:r>
        <w:t xml:space="preserve"> </w:t>
      </w:r>
      <w:r>
        <w:t xml:space="preserve">a</w:t>
      </w:r>
      <w:r>
        <w:t xml:space="preserve"> </w:t>
      </w:r>
      <w:r>
        <w:t xml:space="preserve">Premium</w:t>
      </w:r>
      <w:r>
        <w:t xml:space="preserve"> </w:t>
      </w:r>
      <w:r>
        <w:t xml:space="preserve">Chemist</w:t>
      </w:r>
      <w:r>
        <w:t xml:space="preserve"> </w:t>
      </w:r>
      <w:r>
        <w:t xml:space="preserve">in</w:t>
      </w:r>
      <w:r>
        <w:t xml:space="preserve"> </w:t>
      </w:r>
      <w:r>
        <w:t xml:space="preserve">Turkey</w:t>
      </w:r>
      <w:r>
        <w:t xml:space="preserve"> </w:t>
      </w:r>
      <w:r>
        <w:t xml:space="preserve">Istanbul</w:t>
      </w:r>
    </w:p>
    <w:bookmarkStart w:id="31" w:name="X51021aaf868ed015996e06ae7d39b78b4e2e610"/>
    <w:p>
      <w:pPr>
        <w:pStyle w:val="Heading1"/>
      </w:pPr>
      <w:r>
        <w:t xml:space="preserve">Case Study: Strategic Market Entry and Operational Excellence for a Premium Chemist in Turkey Istanbul</w:t>
      </w:r>
    </w:p>
    <w:p>
      <w:pPr>
        <w:pStyle w:val="FirstParagraph"/>
      </w:pPr>
      <w:r>
        <w:rPr>
          <w:bCs/>
          <w:b/>
        </w:rPr>
        <w:t xml:space="preserve">Date:</w:t>
      </w:r>
      <w:r>
        <w:t xml:space="preserve"> </w:t>
      </w:r>
      <w:r>
        <w:t xml:space="preserve">October 2023</w:t>
      </w:r>
      <w:r>
        <w:br/>
      </w:r>
      <w:r>
        <w:rPr>
          <w:bCs/>
          <w:b/>
        </w:rPr>
        <w:t xml:space="preserve">Sector:</w:t>
      </w:r>
      <w:r>
        <w:t xml:space="preserve"> </w:t>
      </w:r>
      <w:r>
        <w:t xml:space="preserve">Healthcare &amp; Retail Pharmacy</w:t>
      </w:r>
      <w:r>
        <w:br/>
      </w:r>
      <w:r>
        <w:rPr>
          <w:bCs/>
          <w:b/>
        </w:rPr>
        <w:t xml:space="preserve">Location Focus:</w:t>
      </w:r>
      <w:r>
        <w:t xml:space="preserve"> </w:t>
      </w:r>
      <w:r>
        <w:t xml:space="preserve">Turkey, specifically Istanbul</w:t>
      </w:r>
    </w:p>
    <w:bookmarkStart w:id="20" w:name="executive-summary"/>
    <w:p>
      <w:pPr>
        <w:pStyle w:val="Heading2"/>
      </w:pPr>
      <w:r>
        <w:t xml:space="preserve">1. Executive Summary</w:t>
      </w:r>
    </w:p>
    <w:p>
      <w:pPr>
        <w:pStyle w:val="FirstParagraph"/>
      </w:pPr>
      <w:r>
        <w:t xml:space="preserve">This case study analyzes the strategic challenges and operational successes of establishing a high-standard pharmaceutical retail brand within the dynamic metropolitan landscape of Istanbul, Turkey. The primary objective was to introduce a "smart chemist" model that blends traditional pharmaceutical expertise with modern digital convenience, addressing the specific healthcare needs of one of Europe's most populous cities. By navigating complex regulatory frameworks in Turkey and leveraging Istanbul’s unique demographic density, the project achieved significant market penetration within its first eighteen months.</w:t>
      </w:r>
    </w:p>
    <w:bookmarkEnd w:id="20"/>
    <w:bookmarkStart w:id="21" w:name="market-context-the-istanbul-landscape"/>
    <w:p>
      <w:pPr>
        <w:pStyle w:val="Heading2"/>
      </w:pPr>
      <w:r>
        <w:t xml:space="preserve">2. Market Context: The Istanbul Landscape</w:t>
      </w:r>
    </w:p>
    <w:p>
      <w:pPr>
        <w:pStyle w:val="FirstParagraph"/>
      </w:pPr>
      <w:r>
        <w:t xml:space="preserve">Istanbul serves as the economic, cultural, and historical heart of Turkey. With a population exceeding 15 million people, it represents one of the most dense urban environments in the world. For a new chemist entering this market, the context is defined by three critical factors:</w:t>
      </w:r>
    </w:p>
    <w:p>
      <w:pPr>
        <w:numPr>
          <w:ilvl w:val="0"/>
          <w:numId w:val="1001"/>
        </w:numPr>
        <w:pStyle w:val="Compact"/>
      </w:pPr>
      <w:r>
        <w:rPr>
          <w:bCs/>
          <w:b/>
        </w:rPr>
        <w:t xml:space="preserve">Demand for Healthcare Services:</w:t>
      </w:r>
      <w:r>
        <w:t xml:space="preserve"> </w:t>
      </w:r>
      <w:r>
        <w:t xml:space="preserve">The healthcare sector in Turkey has seen robust growth. As life expectancy increases and lifestyle-related chronic conditions rise, the demand for accessible pharmaceutical care intensifies.</w:t>
      </w:r>
    </w:p>
    <w:p>
      <w:pPr>
        <w:numPr>
          <w:ilvl w:val="0"/>
          <w:numId w:val="1001"/>
        </w:numPr>
        <w:pStyle w:val="Compact"/>
      </w:pPr>
      <w:r>
        <w:rPr>
          <w:bCs/>
          <w:b/>
        </w:rPr>
        <w:t xml:space="preserve">Digital Adoption:</w:t>
      </w:r>
      <w:r>
        <w:t xml:space="preserve"> </w:t>
      </w:r>
      <w:r>
        <w:t xml:space="preserve">Istanbul’s population is highly tech-savvy. There is a growing preference for digital health solutions, including online consultations and home delivery of medicines.</w:t>
      </w:r>
    </w:p>
    <w:p>
      <w:pPr>
        <w:numPr>
          <w:ilvl w:val="0"/>
          <w:numId w:val="1001"/>
        </w:numPr>
        <w:pStyle w:val="Compact"/>
      </w:pPr>
      <w:r>
        <w:rPr>
          <w:bCs/>
          <w:b/>
        </w:rPr>
        <w:t xml:space="preserve">Tourism and Transience:</w:t>
      </w:r>
      <w:r>
        <w:t xml:space="preserve"> </w:t>
      </w:r>
      <w:r>
        <w:t xml:space="preserve">As a major tourist hub, Istanbul hosts millions of international visitors annually. This creates a secondary market for travel medicine, over-the-counter (OTC) remedies in multiple languages, and emergency pharmaceutical services.</w:t>
      </w:r>
    </w:p>
    <w:p>
      <w:pPr>
        <w:pStyle w:val="FirstParagraph"/>
      </w:pPr>
      <w:r>
        <w:t xml:space="preserve">The competition in Turkey is fierce. The public health system provides universal coverage, but private pharmacies often serve as the first point of contact for minor ailments due to shorter wait times. Therefore, a modern chemist must offer value beyond mere transaction; it must provide trust, speed, and expertise.</w:t>
      </w:r>
    </w:p>
    <w:bookmarkEnd w:id="21"/>
    <w:bookmarkStart w:id="22" w:name="project-objectives"/>
    <w:p>
      <w:pPr>
        <w:pStyle w:val="Heading2"/>
      </w:pPr>
      <w:r>
        <w:t xml:space="preserve">3. Project Objectives</w:t>
      </w:r>
    </w:p>
    <w:p>
      <w:pPr>
        <w:pStyle w:val="FirstParagraph"/>
      </w:pPr>
      <w:r>
        <w:t xml:space="preserve">The core objectives for this initiative were structured around the brand identity of a "Premium Chemist":</w:t>
      </w:r>
    </w:p>
    <w:p>
      <w:pPr>
        <w:numPr>
          <w:ilvl w:val="0"/>
          <w:numId w:val="1002"/>
        </w:numPr>
        <w:pStyle w:val="Compact"/>
      </w:pPr>
      <w:r>
        <w:rPr>
          <w:bCs/>
          <w:b/>
        </w:rPr>
        <w:t xml:space="preserve">Ambassadorial Role:</w:t>
      </w:r>
    </w:p>
    <w:p>
      <w:pPr>
        <w:numPr>
          <w:ilvl w:val="0"/>
          <w:numId w:val="1002"/>
        </w:numPr>
        <w:pStyle w:val="Compact"/>
      </w:pPr>
      <w:r>
        <w:rPr>
          <w:bCs/>
          <w:b/>
        </w:rPr>
        <w:t xml:space="preserve">Digital Integration:</w:t>
      </w:r>
    </w:p>
    <w:p>
      <w:pPr>
        <w:numPr>
          <w:ilvl w:val="0"/>
          <w:numId w:val="1002"/>
        </w:numPr>
        <w:pStyle w:val="Compact"/>
      </w:pPr>
      <w:r>
        <w:rPr>
          <w:bCs/>
          <w:b/>
        </w:rPr>
        <w:t xml:space="preserve">Niche Specialization:</w:t>
      </w:r>
    </w:p>
    <w:bookmarkEnd w:id="22"/>
    <w:bookmarkStart w:id="23" w:name="challenges-and-regulatory-environment"/>
    <w:p>
      <w:pPr>
        <w:pStyle w:val="Heading2"/>
      </w:pPr>
      <w:r>
        <w:t xml:space="preserve">4. Challenges and Regulatory Environment</w:t>
      </w:r>
    </w:p>
    <w:p>
      <w:pPr>
        <w:pStyle w:val="FirstParagraph"/>
      </w:pPr>
      <w:r>
        <w:t xml:space="preserve">Facing the Turkish market presented unique hurdles. The regulatory environment in Turkey regarding pharmaceutical retail is strict, governed by the Ministry of Health. Key challenges included:</w:t>
      </w:r>
    </w:p>
    <w:p>
      <w:pPr>
        <w:pStyle w:val="BodyText"/>
      </w:pPr>
      <w:r>
        <w:rPr>
          <w:bCs/>
          <w:b/>
        </w:rPr>
        <w:t xml:space="preserve">The Location Constraint:</w:t>
      </w:r>
      <w:r>
        <w:br/>
      </w:r>
      <w:r>
        <w:t xml:space="preserve">In Turkey, there are specific distance requirements between pharmacies to ensure equitable access to healthcare. Finding a viable location in prime districts of Istanbul (such as Beşiktaş, Kadıköy, or Nişantaşı) that complied with these regulations while maintaining high foot traffic was the primary logistical hurdle.</w:t>
      </w:r>
    </w:p>
    <w:p>
      <w:pPr>
        <w:pStyle w:val="BodyText"/>
      </w:pPr>
      <w:r>
        <w:t xml:space="preserve">Furthermore, pricing controls on essential medicines meant that revenue models had to rely heavily on non-subsidized products, such as cosmetics, dietary supplements, and personal care items. The team had to navigate import tariffs for premium foreign cosmetic brands, which are significant in Turkey due to currency fluctuation issues.</w:t>
      </w:r>
    </w:p>
    <w:bookmarkEnd w:id="23"/>
    <w:bookmarkStart w:id="27" w:name="strategic-implementation"/>
    <w:p>
      <w:pPr>
        <w:pStyle w:val="Heading2"/>
      </w:pPr>
      <w:r>
        <w:t xml:space="preserve">5. Strategic Implementation</w:t>
      </w:r>
    </w:p>
    <w:bookmarkStart w:id="24" w:name="a.-location-strategy-in-istanbul"/>
    <w:p>
      <w:pPr>
        <w:pStyle w:val="Heading3"/>
      </w:pPr>
      <w:r>
        <w:t xml:space="preserve">A. Location Strategy in Istanbul</w:t>
      </w:r>
    </w:p>
    <w:p>
      <w:pPr>
        <w:pStyle w:val="FirstParagraph"/>
      </w:pPr>
      <w:r>
        <w:t xml:space="preserve">The decision was made to open three flagship stores in distinct neighborhoods of Istanbul: one on the European side (Şişli) and two on the Asian side (Kadıköy and Üsküdar). This geographic spread ensured coverage across the Bosphorus, catering to both local residents and tourists. Each store was designed with a "clinic-like" aesthetic to convey professionalism and trust, contrasting with the often cluttered appearance of traditional Turkish pharmacies.</w:t>
      </w:r>
    </w:p>
    <w:bookmarkEnd w:id="24"/>
    <w:bookmarkStart w:id="25" w:name="b.-technology-and-logistics"/>
    <w:p>
      <w:pPr>
        <w:pStyle w:val="Heading3"/>
      </w:pPr>
      <w:r>
        <w:t xml:space="preserve">B. Technology and Logistics</w:t>
      </w:r>
    </w:p>
    <w:p>
      <w:pPr>
        <w:pStyle w:val="FirstParagraph"/>
      </w:pPr>
      <w:r>
        <w:t xml:space="preserve">A proprietary mobile application was developed, featuring AI-driven symptom checkers that guide users to appropriate OTC products or suggest professional consultation. The logistics network partnered with local last-mile delivery providers specialized in temperature-controlled transport, ensuring that insulin and other sensitive medications remained viable during Istanbul’s traffic-heavy transit times.</w:t>
      </w:r>
    </w:p>
    <w:bookmarkEnd w:id="25"/>
    <w:bookmarkStart w:id="26" w:name="c.-human-capital-and-training"/>
    <w:p>
      <w:pPr>
        <w:pStyle w:val="Heading3"/>
      </w:pPr>
      <w:r>
        <w:t xml:space="preserve">C. Human Capital and Training</w:t>
      </w:r>
    </w:p>
    <w:p>
      <w:pPr>
        <w:pStyle w:val="FirstParagraph"/>
      </w:pPr>
      <w:r>
        <w:t xml:space="preserve">In Turkey, the pharmacist is a highly respected profession. The brand invested heavily in continuous training for its staff. Beyond clinical knowledge, staff were trained in multilingual customer service (Turkish, English, Arabic, and Russian) to cater to Istanbul’s diverse population. This human-centric approach became the brand’s strongest differentiator.</w:t>
      </w:r>
    </w:p>
    <w:bookmarkEnd w:id="26"/>
    <w:bookmarkEnd w:id="27"/>
    <w:bookmarkStart w:id="28" w:name="results-and-impact"/>
    <w:p>
      <w:pPr>
        <w:pStyle w:val="Heading2"/>
      </w:pPr>
      <w:r>
        <w:t xml:space="preserve">6. Results and Impact</w:t>
      </w:r>
    </w:p>
    <w:p>
      <w:pPr>
        <w:pStyle w:val="FirstParagraph"/>
      </w:pPr>
      <w:r>
        <w:t xml:space="preserve">Sixteen months after launch, the "Premium Chemist" project in Istanbul demonstrated remarkable success:</w:t>
      </w:r>
    </w:p>
    <w:p>
      <w:pPr>
        <w:numPr>
          <w:ilvl w:val="0"/>
          <w:numId w:val="1003"/>
        </w:numPr>
        <w:pStyle w:val="Compact"/>
      </w:pPr>
      <w:r>
        <w:rPr>
          <w:bCs/>
          <w:b/>
        </w:rPr>
        <w:t xml:space="preserve">Market Share:</w:t>
      </w:r>
    </w:p>
    <w:p>
      <w:pPr>
        <w:numPr>
          <w:ilvl w:val="0"/>
          <w:numId w:val="1003"/>
        </w:numPr>
        <w:pStyle w:val="Compact"/>
      </w:pPr>
      <w:r>
        <w:rPr>
          <w:bCs/>
          <w:b/>
        </w:rPr>
        <w:t xml:space="preserve">Digital Engagement:</w:t>
      </w:r>
    </w:p>
    <w:p>
      <w:pPr>
        <w:numPr>
          <w:ilvl w:val="0"/>
          <w:numId w:val="1003"/>
        </w:numPr>
        <w:pStyle w:val="Compact"/>
      </w:pPr>
      <w:r>
        <w:rPr>
          <w:bCs/>
          <w:b/>
        </w:rPr>
        <w:t xml:space="preserve">Customer Satisfaction:</w:t>
      </w:r>
    </w:p>
    <w:p>
      <w:pPr>
        <w:numPr>
          <w:ilvl w:val="0"/>
          <w:numId w:val="1003"/>
        </w:numPr>
        <w:pStyle w:val="Compact"/>
      </w:pPr>
      <w:r>
        <w:rPr>
          <w:bCs/>
          <w:b/>
        </w:rPr>
        <w:t xml:space="preserve">Tourism Revenue:</w:t>
      </w:r>
    </w:p>
    <w:bookmarkEnd w:id="28"/>
    <w:bookmarkStart w:id="29" w:name="key-learnings"/>
    <w:p>
      <w:pPr>
        <w:pStyle w:val="Heading2"/>
      </w:pPr>
      <w:r>
        <w:t xml:space="preserve">7. Key Learnings</w:t>
      </w:r>
    </w:p>
    <w:p>
      <w:pPr>
        <w:pStyle w:val="FirstParagraph"/>
      </w:pPr>
      <w:r>
        <w:t xml:space="preserve">The success in Turkey highlights that modernization in traditional sectors requires cultural sensitivity. While technology drives efficiency, the human element remains paramount in healthcare retail. In Istanbul, where community ties are strong, trust is built through personal interaction rather than just digital convenience.</w:t>
      </w:r>
    </w:p>
    <w:p>
      <w:pPr>
        <w:pStyle w:val="BodyText"/>
      </w:pPr>
      <w:r>
        <w:t xml:space="preserve">Additionally, adapting to local economic realities was crucial. The ability to offer flexible payment options and bundle products (e.g., skincare routines) helped mitigate the impact of inflation on disposable income for wellness products.</w:t>
      </w:r>
    </w:p>
    <w:bookmarkEnd w:id="29"/>
    <w:bookmarkStart w:id="30" w:name="conclusion"/>
    <w:p>
      <w:pPr>
        <w:pStyle w:val="Heading2"/>
      </w:pPr>
      <w:r>
        <w:t xml:space="preserve">8. Conclusion</w:t>
      </w:r>
    </w:p>
    <w:p>
      <w:pPr>
        <w:pStyle w:val="FirstParagraph"/>
      </w:pPr>
      <w:r>
        <w:t xml:space="preserve">This case study demonstrates that a well-executed strategy combining regulatory compliance, technological innovation, and cultural adaptation can successfully disrupt traditional markets. For future entrants looking to establish a presence in Turkey Istanbul, the lesson is clear: success lies not just in selling medicines, but in becoming an integral part of the community’s health and wellness ecosystem. The "Premium Chemist" model proves that there is substantial room for high-quality, service-oriented pharmaceutical retail even in saturated metropolitan markets.</w:t>
      </w:r>
    </w:p>
    <w:p>
      <w:pPr>
        <w:pStyle w:val="BodyText"/>
      </w:pPr>
      <w:r>
        <w:t xml:space="preserve">The journey continues with plans to expand this model to Ankara and Izmir, applying the lessons learned in Istanbul to further solidify a nationwide presence in Turkey’s evolving healthcare landscape.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 Entry and Operational Excellence for a Premium Chemist in Turkey Istanbul</dc:title>
  <dc:creator/>
  <dc:language>en</dc:language>
  <cp:keywords/>
  <dcterms:created xsi:type="dcterms:W3CDTF">2026-07-29T14:11:54Z</dcterms:created>
  <dcterms:modified xsi:type="dcterms:W3CDTF">2026-07-29T14:11:54Z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