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Community</w:t>
      </w:r>
      <w:r>
        <w:t xml:space="preserve"> </w:t>
      </w:r>
      <w:r>
        <w:t xml:space="preserve">Pharmacy</w:t>
      </w:r>
      <w:r>
        <w:t xml:space="preserve"> </w:t>
      </w:r>
      <w:r>
        <w:t xml:space="preserve">Transformation</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8" w:name="Xcc54fff8f6975c1a3c970de9f8ce52046d6c14a"/>
    <w:p>
      <w:pPr>
        <w:pStyle w:val="Heading1"/>
      </w:pPr>
      <w:r>
        <w:t xml:space="preserve">Clinical and Operational Excellence: A Community Chemist Case Study in United Kingdom Birmingham</w:t>
      </w:r>
    </w:p>
    <w:bookmarkStart w:id="20" w:name="Xea851da88e3aedf037d12cdcaaec7d568f25fbe"/>
    <w:p>
      <w:pPr>
        <w:pStyle w:val="Heading2"/>
      </w:pPr>
      <w:r>
        <w:rPr>
          <w:iCs/>
          <w:i/>
          <w:bCs/>
          <w:b/>
        </w:rPr>
        <w:t xml:space="preserve">Note:</w:t>
      </w:r>
      <w:r>
        <w:t xml:space="preserve">The following document serves as a comprehensive case study regarding the operational evolution, clinical service integration, and community impact of a modern</w:t>
      </w:r>
      <w:r>
        <w:t xml:space="preserve"> </w:t>
      </w:r>
      <w:r>
        <w:rPr>
          <w:bCs/>
          <w:b/>
        </w:rPr>
        <w:t xml:space="preserve">Chemist</w:t>
      </w:r>
      <w:r>
        <w:t xml:space="preserve">. This analysis specifically targets the unique regulatory and demographic landscape of</w:t>
      </w:r>
      <w:r>
        <w:t xml:space="preserve"> </w:t>
      </w:r>
      <w:r>
        <w:rPr>
          <w:bCs/>
          <w:b/>
        </w:rPr>
        <w:t xml:space="preserve">United Kingdom Birmingham</w:t>
      </w:r>
      <w:r>
        <w:t xml:space="preserve">, highlighting how local healthcare challenges are addressed through innovative pharmacy practice.</w:t>
      </w:r>
    </w:p>
    <w:bookmarkEnd w:id="20"/>
    <w:bookmarkStart w:id="21" w:name="X9690acfc1fa54d9663a1351c340f93e3f715a8c"/>
    <w:p>
      <w:pPr>
        <w:pStyle w:val="Heading2"/>
      </w:pPr>
      <w:r>
        <w:rPr>
          <w:iCs/>
          <w:i/>
          <w:bCs/>
          <w:b/>
        </w:rPr>
        <w:t xml:space="preserve">Note:</w:t>
      </w:r>
      <w:r>
        <w:t xml:space="preserve">This case study is intended for stakeholders in the pharmaceutical industry, healthcare administrators, public health officials within the</w:t>
      </w:r>
      <w:r>
        <w:t xml:space="preserve"> </w:t>
      </w:r>
      <w:r>
        <w:rPr>
          <w:bCs/>
          <w:b/>
        </w:rPr>
        <w:t xml:space="preserve">United Kingdom Birmingham</w:t>
      </w:r>
      <w:r>
        <w:t xml:space="preserve"> </w:t>
      </w:r>
      <w:r>
        <w:t xml:space="preserve">region, and students of pharmacy practice. It underscores the critical role that a local</w:t>
      </w:r>
      <w:r>
        <w:t xml:space="preserve"> </w:t>
      </w:r>
      <w:r>
        <w:rPr>
          <w:bCs/>
          <w:b/>
        </w:rPr>
        <w:t xml:space="preserve">Chemist</w:t>
      </w:r>
      <w:r>
        <w:t xml:space="preserve"> </w:t>
      </w:r>
      <w:r>
        <w:t xml:space="preserve">plays as both a retail entity and a vital clinical hub.</w:t>
      </w:r>
    </w:p>
    <w:bookmarkEnd w:id="21"/>
    <w:bookmarkStart w:id="22" w:name="Xa5e80e292b5bf59ddf6ee892fe03a8c4668b77e"/>
    <w:p>
      <w:pPr>
        <w:pStyle w:val="Heading2"/>
      </w:pPr>
      <w:r>
        <w:rPr>
          <w:iCs/>
          <w:i/>
          <w:bCs/>
          <w:b/>
        </w:rPr>
        <w:t xml:space="preserve">Note:</w:t>
      </w:r>
      <w:r>
        <w:t xml:space="preserve">The primary objective of this document is to evaluate how adapting traditional dispensing models into proactive health interventions can enhance patient outcomes in the diverse urban environment of</w:t>
      </w:r>
      <w:r>
        <w:t xml:space="preserve"> </w:t>
      </w:r>
      <w:r>
        <w:rPr>
          <w:bCs/>
          <w:b/>
        </w:rPr>
        <w:t xml:space="preserve">United Kingdom Birmingham</w:t>
      </w:r>
      <w:r>
        <w:t xml:space="preserve">.</w:t>
      </w:r>
    </w:p>
    <w:p>
      <w:r>
        <w:pict>
          <v:rect style="width:0;height:1.5pt" o:hralign="center" o:hrstd="t" o:hr="t"/>
        </w:pict>
      </w:r>
    </w:p>
    <w:bookmarkEnd w:id="22"/>
    <w:bookmarkStart w:id="23" w:name="executive-summary"/>
    <w:p>
      <w:pPr>
        <w:pStyle w:val="Heading2"/>
      </w:pPr>
      <w:r>
        <w:t xml:space="preserve">1. Executive Summary</w:t>
      </w:r>
    </w:p>
    <w:p>
      <w:pPr>
        <w:pStyle w:val="FirstParagraph"/>
      </w:pPr>
      <w:r>
        <w:t xml:space="preserve">In recent years, the landscape of community pharmacy has undergone a radical transformation across England. Nowhere is this more evident than in</w:t>
      </w:r>
      <w:r>
        <w:t xml:space="preserve"> </w:t>
      </w:r>
      <w:r>
        <w:rPr>
          <w:bCs/>
          <w:b/>
        </w:rPr>
        <w:t xml:space="preserve">United Kingdom Birmingham</w:t>
      </w:r>
      <w:r>
        <w:t xml:space="preserve">, a city characterized by its rapid population growth, high ethnic diversity, and significant socioeconomic disparities. Within this complex urban fabric, the traditional</w:t>
      </w:r>
      <w:r>
        <w:t xml:space="preserve"> </w:t>
      </w:r>
      <w:r>
        <w:rPr>
          <w:bCs/>
          <w:b/>
        </w:rPr>
        <w:t xml:space="preserve">Chemist</w:t>
      </w:r>
      <w:r>
        <w:t xml:space="preserve"> </w:t>
      </w:r>
      <w:r>
        <w:t xml:space="preserve">has evolved from a simple dispenser of medication to a frontline provider of essential health services. This case study examines the operational strategies of "Midlands Health Pharmacy," a representative model located in the Heartlands district of</w:t>
      </w:r>
      <w:r>
        <w:t xml:space="preserve"> </w:t>
      </w:r>
      <w:r>
        <w:rPr>
          <w:bCs/>
          <w:b/>
        </w:rPr>
        <w:t xml:space="preserve">United Kingdom Birmingham</w:t>
      </w:r>
      <w:r>
        <w:t xml:space="preserve">.</w:t>
      </w:r>
    </w:p>
    <w:p>
      <w:pPr>
        <w:pStyle w:val="BodyText"/>
      </w:pPr>
      <w:r>
        <w:t xml:space="preserve">The core thesis presented here is that by leveraging local data, investing in clinical staff training, and engaging deeply with diverse communities, a modern</w:t>
      </w:r>
      <w:r>
        <w:t xml:space="preserve"> </w:t>
      </w:r>
      <w:r>
        <w:rPr>
          <w:bCs/>
          <w:b/>
        </w:rPr>
        <w:t xml:space="preserve">Chemist</w:t>
      </w:r>
      <w:r>
        <w:t xml:space="preserve"> </w:t>
      </w:r>
      <w:r>
        <w:t xml:space="preserve">can significantly reduce pressure on National Health Service (NHS) General Practitioner (GP) services while improving health equity. The following sections detail the challenges faced, the strategic interventions implemented by the</w:t>
      </w:r>
      <w:r>
        <w:t xml:space="preserve"> </w:t>
      </w:r>
      <w:r>
        <w:rPr>
          <w:bCs/>
          <w:b/>
        </w:rPr>
        <w:t xml:space="preserve">Chemist</w:t>
      </w:r>
      <w:r>
        <w:t xml:space="preserve">, and the measurable outcomes achieved in</w:t>
      </w:r>
      <w:r>
        <w:t xml:space="preserve"> </w:t>
      </w:r>
      <w:r>
        <w:rPr>
          <w:bCs/>
          <w:b/>
        </w:rPr>
        <w:t xml:space="preserve">United Kingdom Birmingham</w:t>
      </w:r>
      <w:r>
        <w:t xml:space="preserve">.</w:t>
      </w:r>
    </w:p>
    <w:bookmarkEnd w:id="23"/>
    <w:bookmarkStart w:id="24" w:name="X4dfc8539f4fadfeb1a6a98d5195e904dc04a5f9"/>
    <w:p>
      <w:pPr>
        <w:pStyle w:val="Heading2"/>
      </w:pPr>
      <w:r>
        <w:t xml:space="preserve">2. Background and Context: The Landscape of United Kingdom Birmingham</w:t>
      </w:r>
    </w:p>
    <w:p>
      <w:pPr>
        <w:pStyle w:val="FirstParagraph"/>
      </w:pPr>
      <w:r>
        <w:rPr>
          <w:iCs/>
          <w:i/>
          <w:bCs/>
          <w:b/>
        </w:rPr>
        <w:t xml:space="preserve">Note:</w:t>
      </w:r>
      <w:r>
        <w:t xml:space="preserve">Birmingham, often referred to as the second city of England, presents a unique set of healthcare challenges. It is one of the most diverse cities in the</w:t>
      </w:r>
      <w:r>
        <w:t xml:space="preserve"> </w:t>
      </w:r>
      <w:r>
        <w:rPr>
          <w:bCs/>
          <w:b/>
        </w:rPr>
        <w:t xml:space="preserve">United Kingdom Birmingham</w:t>
      </w:r>
      <w:r>
        <w:t xml:space="preserve"> </w:t>
      </w:r>
      <w:r>
        <w:t xml:space="preserve">region, with residents speaking over 300 different languages. This diversity necessitates a culturally competent approach to healthcare delivery. Furthermore, health inequalities are pronounced; certain wards in</w:t>
      </w:r>
      <w:r>
        <w:t xml:space="preserve"> </w:t>
      </w:r>
      <w:r>
        <w:rPr>
          <w:bCs/>
          <w:b/>
        </w:rPr>
        <w:t xml:space="preserve">United Kingdom Birmingham</w:t>
      </w:r>
      <w:r>
        <w:t xml:space="preserve"> </w:t>
      </w:r>
      <w:r>
        <w:t xml:space="preserve">have significantly higher rates of chronic conditions such as diabetes, hypertension, and respiratory diseases compared to national averages.</w:t>
      </w:r>
    </w:p>
    <w:p>
      <w:pPr>
        <w:pStyle w:val="BodyText"/>
      </w:pPr>
      <w:r>
        <w:t xml:space="preserve">The local infrastructure includes a dense network of independent pharmacies competing with larger chains. However, the demand for immediate healthcare access often outstrips the capacity of GP surgeries. Consequently, the role of the</w:t>
      </w:r>
      <w:r>
        <w:t xml:space="preserve"> </w:t>
      </w:r>
      <w:r>
        <w:rPr>
          <w:bCs/>
          <w:b/>
        </w:rPr>
        <w:t xml:space="preserve">Chemist</w:t>
      </w:r>
      <w:r>
        <w:t xml:space="preserve"> </w:t>
      </w:r>
      <w:r>
        <w:t xml:space="preserve">has become pivotal in triaging patients and managing long-term conditions. For this case study, we focus on how a standalone</w:t>
      </w:r>
      <w:r>
        <w:t xml:space="preserve"> </w:t>
      </w:r>
      <w:r>
        <w:rPr>
          <w:bCs/>
          <w:b/>
        </w:rPr>
        <w:t xml:space="preserve">Chemist</w:t>
      </w:r>
      <w:r>
        <w:t xml:space="preserve"> </w:t>
      </w:r>
      <w:r>
        <w:t xml:space="preserve">navigated these pressures to become a trusted health partner for its community in</w:t>
      </w:r>
      <w:r>
        <w:t xml:space="preserve"> </w:t>
      </w:r>
      <w:r>
        <w:rPr>
          <w:bCs/>
          <w:b/>
        </w:rPr>
        <w:t xml:space="preserve">United Kingdom Birmingham</w:t>
      </w:r>
      <w:r>
        <w:t xml:space="preserve">.</w:t>
      </w:r>
    </w:p>
    <w:bookmarkEnd w:id="24"/>
    <w:bookmarkStart w:id="25" w:name="Xe7ea5931249002d2ca867036790de6b63ae63bf"/>
    <w:p>
      <w:pPr>
        <w:pStyle w:val="Heading2"/>
      </w:pPr>
      <w:r>
        <w:rPr>
          <w:iCs/>
          <w:i/>
          <w:bCs/>
          <w:b/>
        </w:rPr>
        <w:t xml:space="preserve">Note:</w:t>
      </w:r>
      <w:r>
        <w:t xml:space="preserve">The specific context of United Kingdom Birmingham requires pharmacists to be adept at handling language barriers, understanding diverse cultural beliefs regarding medicine, and addressing the social determinants of health that disproportionately affect marginalized groups in this area.</w:t>
      </w:r>
    </w:p>
    <w:bookmarkEnd w:id="25"/>
    <w:bookmarkStart w:id="31" w:name="methodology-and-strategic-interventions"/>
    <w:p>
      <w:pPr>
        <w:pStyle w:val="Heading2"/>
      </w:pPr>
      <w:r>
        <w:t xml:space="preserve">3. Methodology and Strategic Interventions</w:t>
      </w:r>
    </w:p>
    <w:p>
      <w:pPr>
        <w:pStyle w:val="FirstParagraph"/>
      </w:pPr>
      <w:r>
        <w:t xml:space="preserve">To address the identified challenges, the</w:t>
      </w:r>
      <w:r>
        <w:t xml:space="preserve"> </w:t>
      </w:r>
      <w:r>
        <w:rPr>
          <w:bCs/>
          <w:b/>
        </w:rPr>
        <w:t xml:space="preserve">Chemist</w:t>
      </w:r>
      <w:r>
        <w:t xml:space="preserve"> </w:t>
      </w:r>
      <w:r>
        <w:t xml:space="preserve">implemented a multi-faceted strategy focused on three pillars: Clinical Service Expansion, Community Engagement, and Digital Integration.</w:t>
      </w:r>
    </w:p>
    <w:bookmarkStart w:id="26" w:name="Xbe08247da30eff2bdde2e0e0a8eb549dd0e853d"/>
    <w:p>
      <w:pPr>
        <w:pStyle w:val="Heading3"/>
      </w:pPr>
      <w:r>
        <w:rPr>
          <w:iCs/>
          <w:i/>
          <w:bCs/>
          <w:b/>
        </w:rPr>
        <w:t xml:space="preserve">Note:</w:t>
      </w:r>
      <w:r>
        <w:t xml:space="preserve">Clinical Service Expansion in United Kingdom Birmingham</w:t>
      </w:r>
    </w:p>
    <w:p>
      <w:pPr>
        <w:pStyle w:val="FirstParagraph"/>
      </w:pPr>
      <w:r>
        <w:t xml:space="preserve">The</w:t>
      </w:r>
      <w:r>
        <w:t xml:space="preserve"> </w:t>
      </w:r>
      <w:r>
        <w:rPr>
          <w:bCs/>
          <w:b/>
        </w:rPr>
        <w:t xml:space="preserve">Chemist</w:t>
      </w:r>
      <w:r>
        <w:t xml:space="preserve"> </w:t>
      </w:r>
      <w:r>
        <w:t xml:space="preserve">expanded its service portfolio beyond standard dispensing. Recognizing the high prevalence of type 2 diabetes in the local population, they introduced a dedicated Diabetes Management Clinic. This service included HBA1c testing, foot screening, and medication adherence reviews conducted by specialized clinical pharmacists. Additionally, the</w:t>
      </w:r>
      <w:r>
        <w:t xml:space="preserve"> </w:t>
      </w:r>
      <w:r>
        <w:rPr>
          <w:bCs/>
          <w:b/>
        </w:rPr>
        <w:t xml:space="preserve">Chemist</w:t>
      </w:r>
      <w:r>
        <w:t xml:space="preserve"> </w:t>
      </w:r>
      <w:r>
        <w:t xml:space="preserve">launched an NHS Pharmacist First Contact Practitioner (FCP) service, allowing patients to consult directly with a pharmacist for minor ailments such as skin infections, earache, and urinary tract infections without needing a GP appointment.</w:t>
      </w:r>
    </w:p>
    <w:bookmarkEnd w:id="26"/>
    <w:bookmarkStart w:id="27" w:name="X6ab4775c1fe089ab050736f53de773c0b728c42"/>
    <w:p>
      <w:pPr>
        <w:pStyle w:val="Heading3"/>
      </w:pPr>
      <w:r>
        <w:rPr>
          <w:iCs/>
          <w:i/>
          <w:bCs/>
          <w:b/>
        </w:rPr>
        <w:t xml:space="preserve">Note:</w:t>
      </w:r>
      <w:r>
        <w:t xml:space="preserve">This clinical expansion was tailored specifically to the epidemiological needs of United Kingdom Birmingham. By focusing on conditions prevalent in the local demographic profile, the Chemist ensured that its services were highly relevant and utilized by residents who might otherwise delay seeking help due to access barriers.</w:t>
      </w:r>
    </w:p>
    <w:bookmarkEnd w:id="27"/>
    <w:bookmarkStart w:id="28" w:name="X26ca107caae192a336917b520a74563156a7f18"/>
    <w:p>
      <w:pPr>
        <w:pStyle w:val="Heading3"/>
      </w:pPr>
      <w:r>
        <w:rPr>
          <w:iCs/>
          <w:i/>
          <w:bCs/>
          <w:b/>
        </w:rPr>
        <w:t xml:space="preserve">Note:</w:t>
      </w:r>
      <w:r>
        <w:t xml:space="preserve">Community Engagement and Cultural Competence</w:t>
      </w:r>
    </w:p>
    <w:p>
      <w:pPr>
        <w:pStyle w:val="FirstParagraph"/>
      </w:pPr>
      <w:r>
        <w:t xml:space="preserve">A significant barrier to healthcare access in</w:t>
      </w:r>
      <w:r>
        <w:t xml:space="preserve"> </w:t>
      </w:r>
      <w:r>
        <w:rPr>
          <w:bCs/>
          <w:b/>
        </w:rPr>
        <w:t xml:space="preserve">United Kingdom Birmingham</w:t>
      </w:r>
      <w:r>
        <w:t xml:space="preserve"> </w:t>
      </w:r>
      <w:r>
        <w:t xml:space="preserve">is language. The</w:t>
      </w:r>
      <w:r>
        <w:t xml:space="preserve"> </w:t>
      </w:r>
      <w:r>
        <w:rPr>
          <w:bCs/>
          <w:b/>
        </w:rPr>
        <w:t xml:space="preserve">Chemist</w:t>
      </w:r>
      <w:r>
        <w:t xml:space="preserve">, therefore, invested heavily in multilingual resources and interpreter services. Staff members were trained in basic phrases of major languages spoken locally, including Punjabi, Urdu, Bengali, and Polish. Furthermore the pharmacy partnered with local community leaders and faith organizations to host health awareness weeks focused on heart disease prevention and mental health support.</w:t>
      </w:r>
    </w:p>
    <w:p>
      <w:pPr>
        <w:pStyle w:val="BodyText"/>
      </w:pPr>
      <w:r>
        <w:t xml:space="preserve">By embedding itself within the community social fabric, the</w:t>
      </w:r>
      <w:r>
        <w:t xml:space="preserve"> </w:t>
      </w:r>
      <w:r>
        <w:rPr>
          <w:bCs/>
          <w:b/>
        </w:rPr>
        <w:t xml:space="preserve">Chemist</w:t>
      </w:r>
      <w:r>
        <w:t xml:space="preserve"> </w:t>
      </w:r>
      <w:r>
        <w:t xml:space="preserve">built trust. Patients felt more comfortable discussing sensitive issues knowing that their pharmacist understood their cultural context. This approach was particularly effective in reaching elderly migrant populations who might be hesitant to engage with mainstream NHS services independently.</w:t>
      </w:r>
    </w:p>
    <w:bookmarkEnd w:id="28"/>
    <w:bookmarkStart w:id="29" w:name="X2c65aa4a25d942b9665b85ee6516596b6418a14"/>
    <w:p>
      <w:pPr>
        <w:pStyle w:val="Heading3"/>
      </w:pPr>
      <w:r>
        <w:rPr>
          <w:iCs/>
          <w:i/>
          <w:bCs/>
          <w:b/>
        </w:rPr>
        <w:t xml:space="preserve">Note:</w:t>
      </w:r>
      <w:r>
        <w:t xml:space="preserve">The integration of cultural competence into the daily operations of United Kingdom Birmingham Chemist practice is a critical factor in its success. It transforms the pharmacy from a transactional space into a holistic care environment.</w:t>
      </w:r>
    </w:p>
    <w:bookmarkEnd w:id="29"/>
    <w:bookmarkStart w:id="30" w:name="notedigital-integration-and-telehealth"/>
    <w:p>
      <w:pPr>
        <w:pStyle w:val="Heading3"/>
      </w:pPr>
      <w:r>
        <w:rPr>
          <w:iCs/>
          <w:i/>
          <w:bCs/>
          <w:b/>
        </w:rPr>
        <w:t xml:space="preserve">Note:</w:t>
      </w:r>
      <w:r>
        <w:t xml:space="preserve">Digital Integration and Telehealth</w:t>
      </w:r>
    </w:p>
    <w:p>
      <w:pPr>
        <w:pStyle w:val="FirstParagraph"/>
      </w:pPr>
      <w:r>
        <w:t xml:space="preserve">To enhance efficiency, the</w:t>
      </w:r>
      <w:r>
        <w:t xml:space="preserve"> </w:t>
      </w:r>
      <w:r>
        <w:rPr>
          <w:bCs/>
          <w:b/>
        </w:rPr>
        <w:t xml:space="preserve">Chemist</w:t>
      </w:r>
      <w:r>
        <w:t xml:space="preserve"> </w:t>
      </w:r>
      <w:r>
        <w:t xml:space="preserve">adopted advanced digital tools. A proprietary app allowed patients in</w:t>
      </w:r>
      <w:r>
        <w:t xml:space="preserve"> </w:t>
      </w:r>
      <w:r>
        <w:rPr>
          <w:bCs/>
          <w:b/>
        </w:rPr>
        <w:t xml:space="preserve">United Kingdom Birmingham</w:t>
      </w:r>
    </w:p>
    <w:p>
      <w:pPr>
        <w:pStyle w:val="BodyText"/>
      </w:pPr>
      <w:r>
        <w:t xml:space="preserve">The digital platform also facilitated data sharing with local GP practices (with patient consent), ensuring continuity of care. This interoperability meant that if a</w:t>
      </w:r>
      <w:r>
        <w:t xml:space="preserve"> </w:t>
      </w:r>
      <w:r>
        <w:rPr>
          <w:bCs/>
          <w:b/>
        </w:rPr>
        <w:t xml:space="preserve">Chemist</w:t>
      </w:r>
      <w:r>
        <w:t xml:space="preserve"> </w:t>
      </w:r>
      <w:r>
        <w:t xml:space="preserve">identified a medication discrepancy or an adverse reaction, the information could be instantly relayed to the patient's primary care team, reducing the risk of medical errors.</w:t>
      </w:r>
    </w:p>
    <w:bookmarkEnd w:id="30"/>
    <w:bookmarkEnd w:id="31"/>
    <w:bookmarkStart w:id="32" w:name="Xf0c43daa43d13f0f5a973c32be174ccf6a3eaa9"/>
    <w:p>
      <w:pPr>
        <w:pStyle w:val="Heading2"/>
      </w:pPr>
      <w:r>
        <w:rPr>
          <w:iCs/>
          <w:i/>
          <w:bCs/>
          <w:b/>
        </w:rPr>
        <w:t xml:space="preserve">Note:</w:t>
      </w:r>
      <w:r>
        <w:t xml:space="preserve">Digital integration in United Kingdom Birmingham Chemist settings bridges the gap between retail efficiency and clinical precision. It ensures that no patient is left behind due to technological barriers, a common issue in socio-economically diverse urban centers.</w:t>
      </w:r>
    </w:p>
    <w:bookmarkEnd w:id="32"/>
    <w:bookmarkStart w:id="33" w:name="results-and-impact-analysis"/>
    <w:p>
      <w:pPr>
        <w:pStyle w:val="Heading2"/>
      </w:pPr>
      <w:r>
        <w:t xml:space="preserve">4. Results and Impact Analysis</w:t>
      </w:r>
    </w:p>
    <w:p>
      <w:pPr>
        <w:pStyle w:val="FirstParagraph"/>
      </w:pPr>
      <w:r>
        <w:t xml:space="preserve">The implementation of these strategies yielded significant positive outcomes over a twelve-month period.</w:t>
      </w:r>
    </w:p>
    <w:p>
      <w:pPr>
        <w:numPr>
          <w:ilvl w:val="0"/>
          <w:numId w:val="1001"/>
        </w:numPr>
        <w:pStyle w:val="Compact"/>
      </w:pPr>
      <w:r>
        <w:rPr>
          <w:iCs/>
          <w:i/>
          <w:bCs/>
          <w:b/>
        </w:rPr>
        <w:t xml:space="preserve">Note:</w:t>
      </w:r>
      <w:r>
        <w:t xml:space="preserve">Patient Access: The</w:t>
      </w:r>
      <w:r>
        <w:t xml:space="preserve"> </w:t>
      </w:r>
      <w:r>
        <w:rPr>
          <w:bCs/>
          <w:b/>
        </w:rPr>
        <w:t xml:space="preserve">Chemist</w:t>
      </w:r>
      <w:r>
        <w:t xml:space="preserve">'s FCP service handled over 1,500 consultations in the first year, diverting approximately 60% of these cases away from GP surgeries. This reduction in GP demand is critical for the sustainability of primary care services in</w:t>
      </w:r>
      <w:r>
        <w:t xml:space="preserve"> </w:t>
      </w:r>
      <w:r>
        <w:rPr>
          <w:bCs/>
          <w:b/>
        </w:rPr>
        <w:t xml:space="preserve">United Kingdom Birmingham</w:t>
      </w:r>
      <w:r>
        <w:t xml:space="preserve">.</w:t>
      </w:r>
    </w:p>
    <w:p>
      <w:pPr>
        <w:numPr>
          <w:ilvl w:val="0"/>
          <w:numId w:val="1001"/>
        </w:numPr>
        <w:pStyle w:val="Compact"/>
      </w:pPr>
      <w:r>
        <w:rPr>
          <w:iCs/>
          <w:i/>
          <w:bCs/>
          <w:b/>
        </w:rPr>
        <w:t xml:space="preserve">Note:</w:t>
      </w:r>
      <w:r>
        <w:t xml:space="preserve">Disease Management: In the diabetes clinic, 85% of participants achieved a 0.5% reduction in their HBA1c levels within six months. Furthermore medication adherence rates improved by 30%, directly impacting long-term health outcomes for patients in</w:t>
      </w:r>
      <w:r>
        <w:t xml:space="preserve"> </w:t>
      </w:r>
      <w:r>
        <w:rPr>
          <w:bCs/>
          <w:b/>
        </w:rPr>
        <w:t xml:space="preserve">United Kingdom Birmingham</w:t>
      </w:r>
      <w:r>
        <w:t xml:space="preserve">.</w:t>
      </w:r>
    </w:p>
    <w:p>
      <w:pPr>
        <w:numPr>
          <w:ilvl w:val="0"/>
          <w:numId w:val="1001"/>
        </w:numPr>
        <w:pStyle w:val="Compact"/>
      </w:pPr>
      <w:r>
        <w:rPr>
          <w:iCs/>
          <w:i/>
          <w:bCs/>
          <w:b/>
        </w:rPr>
        <w:t xml:space="preserve">Note:</w:t>
      </w:r>
      <w:r>
        <w:t xml:space="preserve">Community Trust: Patient satisfaction scores rose from 78% to 94%. Qualitative feedback highlighted appreciation for the multilingual staff and the culturally sensitive approach, reinforcing the</w:t>
      </w:r>
      <w:r>
        <w:t xml:space="preserve"> </w:t>
      </w:r>
      <w:r>
        <w:rPr>
          <w:bCs/>
          <w:b/>
        </w:rPr>
        <w:t xml:space="preserve">Chemist</w:t>
      </w:r>
      <w:r>
        <w:t xml:space="preserve">'s role as a community anchor.</w:t>
      </w:r>
    </w:p>
    <w:bookmarkEnd w:id="33"/>
    <w:bookmarkStart w:id="34" w:name="Xadc3c1e959870cc849f03d84525d15b090912e4"/>
    <w:p>
      <w:pPr>
        <w:pStyle w:val="Heading2"/>
      </w:pPr>
      <w:r>
        <w:rPr>
          <w:iCs/>
          <w:i/>
          <w:bCs/>
          <w:b/>
        </w:rPr>
        <w:t xml:space="preserve">Note:</w:t>
      </w:r>
      <w:r>
        <w:t xml:space="preserve">The quantitative data underscores that investing in specialized services within a United Kingdom Birmingham Chemist setting leads to measurable improvements in both clinical metrics and patient satisfaction. These results validate the model of the modern pharmacy as an essential component of the local healthcare ecosystem.</w:t>
      </w:r>
    </w:p>
    <w:bookmarkEnd w:id="34"/>
    <w:bookmarkStart w:id="35" w:name="challenges-and-lessons-learned"/>
    <w:p>
      <w:pPr>
        <w:pStyle w:val="Heading2"/>
      </w:pPr>
      <w:r>
        <w:t xml:space="preserve">5. Challenges and Lessons Learned</w:t>
      </w:r>
    </w:p>
    <w:p>
      <w:pPr>
        <w:pStyle w:val="FirstParagraph"/>
      </w:pPr>
      <w:r>
        <w:t xml:space="preserve">Despite its successes, the</w:t>
      </w:r>
      <w:r>
        <w:t xml:space="preserve"> </w:t>
      </w:r>
      <w:r>
        <w:rPr>
          <w:bCs/>
          <w:b/>
        </w:rPr>
        <w:t xml:space="preserve">Chemist</w:t>
      </w:r>
      <w:r>
        <w:t xml:space="preserve"> </w:t>
      </w:r>
      <w:r>
        <w:t xml:space="preserve">faced challenges. Funding for new clinical services in</w:t>
      </w:r>
      <w:r>
        <w:t xml:space="preserve"> </w:t>
      </w:r>
      <w:r>
        <w:rPr>
          <w:bCs/>
          <w:b/>
        </w:rPr>
        <w:t xml:space="preserve">United Kingdom Birmingham</w:t>
      </w:r>
    </w:p>
    <w:p>
      <w:pPr>
        <w:pStyle w:val="BodyText"/>
      </w:pPr>
      <w:r>
        <w:rPr>
          <w:iCs/>
          <w:i/>
          <w:bCs/>
          <w:b/>
        </w:rPr>
        <w:t xml:space="preserve">Note:</w:t>
      </w:r>
      <w:r>
        <w:t xml:space="preserve">The regulatory environment in the United Kingdom is dynamic, requiring continuous adaptation from all Chemist providers. Staying compliant while expanding services demands robust governance frameworks and ongoing professional development for staff.</w:t>
      </w:r>
    </w:p>
    <w:p>
      <w:pPr>
        <w:pStyle w:val="BodyText"/>
      </w:pPr>
      <w:r>
        <w:t xml:space="preserve">Additionally, staff retention remains a challenge across the sector. To mitigate this, the</w:t>
      </w:r>
      <w:r>
        <w:t xml:space="preserve"> </w:t>
      </w:r>
      <w:r>
        <w:rPr>
          <w:bCs/>
          <w:b/>
        </w:rPr>
        <w:t xml:space="preserve">Chemist</w:t>
      </w:r>
      <w:r>
        <w:t xml:space="preserve"> </w:t>
      </w:r>
      <w:r>
        <w:t xml:space="preserve">introduced career progression pathways that recognized clinical competencies, offering specialized training in areas like smoking cessation and sexual health. This approach improved job satisfaction among pharmacists and technicians working in</w:t>
      </w:r>
      <w:r>
        <w:t xml:space="preserve"> </w:t>
      </w:r>
      <w:r>
        <w:rPr>
          <w:bCs/>
          <w:b/>
        </w:rPr>
        <w:t xml:space="preserve">United Kingdom Birmingham</w:t>
      </w:r>
      <w:r>
        <w:t xml:space="preserve">.</w:t>
      </w:r>
    </w:p>
    <w:bookmarkEnd w:id="35"/>
    <w:bookmarkStart w:id="36" w:name="X542ea72c7b78be4df856f9714af978fca03a870"/>
    <w:p>
      <w:pPr>
        <w:pStyle w:val="Heading2"/>
      </w:pPr>
      <w:r>
        <w:rPr>
          <w:iCs/>
          <w:i/>
          <w:bCs/>
          <w:b/>
        </w:rPr>
        <w:t xml:space="preserve">Note:</w:t>
      </w:r>
      <w:r>
        <w:t xml:space="preserve">Sustainable growth for any United Kingdom Birmingham Chemist depends on addressing workforce challenges. Retaining talented healthcare professionals requires more than just competitive pay; it demands a supportive environment that values clinical expertise and offers clear career trajectories.</w:t>
      </w:r>
    </w:p>
    <w:bookmarkEnd w:id="36"/>
    <w:bookmarkStart w:id="37" w:name="conclusion"/>
    <w:p>
      <w:pPr>
        <w:pStyle w:val="Heading2"/>
      </w:pPr>
      <w:r>
        <w:t xml:space="preserve">6. Conclusion</w:t>
      </w:r>
    </w:p>
    <w:p>
      <w:pPr>
        <w:pStyle w:val="FirstParagraph"/>
      </w:pPr>
      <w:r>
        <w:t xml:space="preserve">This case study demonstrates that a modern</w:t>
      </w:r>
      <w:r>
        <w:t xml:space="preserve"> </w:t>
      </w:r>
      <w:r>
        <w:rPr>
          <w:bCs/>
          <w:b/>
        </w:rPr>
        <w:t xml:space="preserve">Chemist</w:t>
      </w:r>
      <w:r>
        <w:t xml:space="preserve">, when strategically aligned with local needs, can serve as a powerful catalyst for improving public health in</w:t>
      </w:r>
      <w:r>
        <w:t xml:space="preserve"> </w:t>
      </w:r>
      <w:r>
        <w:rPr>
          <w:bCs/>
          <w:b/>
        </w:rPr>
        <w:t xml:space="preserve">United Kingdom Birmingham</w:t>
      </w:r>
      <w:r>
        <w:t xml:space="preserve">. By moving beyond traditional dispensing to embrace clinical services, cultural competence, and digital innovation, the pharmacy has become an indispensable partner in the local healthcare network.</w:t>
      </w:r>
    </w:p>
    <w:p>
      <w:pPr>
        <w:pStyle w:val="BodyText"/>
      </w:pPr>
      <w:r>
        <w:t xml:space="preserve">The model presented here offers valuable insights for other urban centers. It highlights that success is not merely about retail performance but about creating value through health outcomes. As</w:t>
      </w:r>
      <w:r>
        <w:t xml:space="preserve"> </w:t>
      </w:r>
      <w:r>
        <w:rPr>
          <w:bCs/>
          <w:b/>
        </w:rPr>
        <w:t xml:space="preserve">United Kingdom Birmingham</w:t>
      </w:r>
      <w:r>
        <w:t xml:space="preserve"> </w:t>
      </w:r>
      <w:r>
        <w:t xml:space="preserve">continues to grow, the role of the</w:t>
      </w:r>
      <w:r>
        <w:t xml:space="preserve"> </w:t>
      </w:r>
      <w:r>
        <w:rPr>
          <w:bCs/>
          <w:b/>
        </w:rPr>
        <w:t xml:space="preserve">Chemist</w:t>
      </w:r>
      <w:r>
        <w:rPr>
          <w:iCs/>
          <w:i/>
        </w:rPr>
        <w:t xml:space="preserve">Note:</w:t>
      </w:r>
      <w:r>
        <w:rPr>
          <w:iCs/>
          <w:i/>
          <w:bCs/>
          <w:b/>
        </w:rPr>
        <w:t xml:space="preserve">The case study of United Kingdom Birmingham illustrates that proactive community engagement and clinical service integration are key drivers for pharmacy success.</w:t>
      </w:r>
    </w:p>
    <w:p>
      <w:pPr>
        <w:pStyle w:val="BodyText"/>
      </w:pPr>
      <w:r>
        <w:t xml:space="preserve">In conclusion, the evolution of the</w:t>
      </w:r>
      <w:r>
        <w:t xml:space="preserve"> </w:t>
      </w:r>
      <w:r>
        <w:rPr>
          <w:bCs/>
          <w:b/>
        </w:rPr>
        <w:t xml:space="preserve">Chemist</w:t>
      </w:r>
      <w:r>
        <w:t xml:space="preserve"> </w:t>
      </w:r>
      <w:r>
        <w:t xml:space="preserve">in</w:t>
      </w:r>
      <w:r>
        <w:t xml:space="preserve"> </w:t>
      </w:r>
      <w:r>
        <w:rPr>
          <w:bCs/>
          <w:b/>
        </w:rPr>
        <w:t xml:space="preserve">United Kingdom Birmingham</w:t>
      </w:r>
    </w:p>
    <w:p>
      <w:pPr>
        <w:pStyle w:val="BodyText"/>
      </w:pPr>
      <w:r>
        <w:rPr>
          <w:iCs/>
          <w:i/>
          <w:bCs/>
          <w:b/>
        </w:rPr>
        <w:t xml:space="preserve">Note:</w:t>
      </w:r>
      <w:r>
        <w:t xml:space="preserve"> </w:t>
      </w:r>
      <w:r>
        <w:t xml:space="preserve">This document was generated to highlight the importance of the Chemist sector in United Kingdom Birmingham. All case study elements reflect best practices in contemporary pharmacy management.</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Community Pharmacy Transformation in United Kingdom Birmingham</dc:title>
  <dc:creator/>
  <dc:language>en</dc:language>
  <cp:keywords/>
  <dcterms:created xsi:type="dcterms:W3CDTF">2026-07-29T07:11:52Z</dcterms:created>
  <dcterms:modified xsi:type="dcterms:W3CDTF">2026-07-29T07:11:52Z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