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Community</w:t>
      </w:r>
      <w:r>
        <w:t xml:space="preserve"> </w:t>
      </w:r>
      <w:r>
        <w:t xml:space="preserve">Integration</w:t>
      </w:r>
      <w:r>
        <w:t xml:space="preserve"> </w:t>
      </w:r>
      <w:r>
        <w:t xml:space="preserve">and</w:t>
      </w:r>
      <w:r>
        <w:t xml:space="preserve"> </w:t>
      </w:r>
      <w:r>
        <w:t xml:space="preserve">Digital</w:t>
      </w:r>
      <w:r>
        <w:t xml:space="preserve"> </w:t>
      </w:r>
      <w:r>
        <w:t xml:space="preserve">Innovation</w:t>
      </w:r>
      <w:r>
        <w:t xml:space="preserve"> </w:t>
      </w:r>
      <w:r>
        <w:t xml:space="preserve">in</w:t>
      </w:r>
      <w:r>
        <w:t xml:space="preserve"> </w:t>
      </w:r>
      <w:r>
        <w:t xml:space="preserve">a</w:t>
      </w:r>
      <w:r>
        <w:t xml:space="preserve"> </w:t>
      </w:r>
      <w:r>
        <w:t xml:space="preserve">United</w:t>
      </w:r>
      <w:r>
        <w:t xml:space="preserve"> </w:t>
      </w:r>
      <w:r>
        <w:t xml:space="preserve">Kingdom</w:t>
      </w:r>
      <w:r>
        <w:t xml:space="preserve"> </w:t>
      </w:r>
      <w:r>
        <w:t xml:space="preserve">London</w:t>
      </w:r>
      <w:r>
        <w:t xml:space="preserve"> </w:t>
      </w:r>
      <w:r>
        <w:t xml:space="preserve">Chemist</w:t>
      </w:r>
    </w:p>
    <w:bookmarkStart w:id="28" w:name="Xa0523a78534b30bdef32994c63360f7bbae7899"/>
    <w:p>
      <w:pPr>
        <w:pStyle w:val="Heading1"/>
      </w:pPr>
      <w:r>
        <w:t xml:space="preserve">Serving the Heart of the Capital:</w:t>
      </w:r>
      <w:r>
        <w:br/>
      </w:r>
      <w:r>
        <w:t xml:space="preserve">A Comprehensive Case Study on a United Kingdom London Chemist</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Greater London, United Kingdom</w:t>
      </w:r>
      <w:r>
        <w:br/>
      </w:r>
      <w:r>
        <w:rPr>
          <w:bCs/>
          <w:b/>
        </w:rPr>
        <w:t xml:space="preserve">Type of Business:</w:t>
      </w:r>
      <w:r>
        <w:t xml:space="preserve"> </w:t>
      </w:r>
      <w:r>
        <w:t xml:space="preserve">Independent High Street Chemist &amp; Community Health Hub</w:t>
      </w:r>
    </w:p>
    <w:bookmarkStart w:id="20" w:name="X9487b232ff0b8887113e38f5d4a3767d1a1a022"/>
    <w:p>
      <w:pPr>
        <w:pStyle w:val="Heading2"/>
      </w:pPr>
      <w:r>
        <w:t xml:space="preserve">The Context: Urban Complexity and Public Health Demands</w:t>
      </w:r>
    </w:p>
    <w:p>
      <w:pPr>
        <w:pStyle w:val="FirstParagraph"/>
      </w:pPr>
      <w:r>
        <w:t xml:space="preserve">The United Kingdom’s National Health Service (NHS) stands as one of the most significant social institutions in the modern world, providing healthcare free at the point of use to all permanent residents. Within this vast system, pharmacies play a critical role not merely as retail outlets for medication but as accessible frontline health services. This case study examines a specific independent</w:t>
      </w:r>
      <w:r>
        <w:t xml:space="preserve"> </w:t>
      </w:r>
      <w:r>
        <w:rPr>
          <w:bCs/>
          <w:b/>
        </w:rPr>
        <w:t xml:space="preserve">Chemist</w:t>
      </w:r>
      <w:r>
        <w:t xml:space="preserve"> </w:t>
      </w:r>
      <w:r>
        <w:t xml:space="preserve">situated in one of the most densely populated and diverse boroughs in</w:t>
      </w:r>
      <w:r>
        <w:t xml:space="preserve"> </w:t>
      </w:r>
      <w:r>
        <w:rPr>
          <w:bCs/>
          <w:b/>
        </w:rPr>
        <w:t xml:space="preserve">United Kingdom London</w:t>
      </w:r>
      <w:r>
        <w:t xml:space="preserve">. The premise is straightforward: how can an independent pharmacy thrive, maintain financial viability, and enhance public health outcomes amidst fierce competition from supermarkets, large chains, and digital health services?</w:t>
      </w:r>
    </w:p>
    <w:p>
      <w:pPr>
        <w:pStyle w:val="BodyText"/>
      </w:pPr>
      <w:r>
        <w:t xml:space="preserve">The setting is a bustling neighborhood in Inner London. The demographics present a unique challenge: an aging population requiring chronic disease management coexisting with a transient student population and young families. Furthermore, the high cost of living in</w:t>
      </w:r>
      <w:r>
        <w:t xml:space="preserve"> </w:t>
      </w:r>
      <w:r>
        <w:rPr>
          <w:bCs/>
          <w:b/>
        </w:rPr>
        <w:t xml:space="preserve">United Kingdom London</w:t>
      </w:r>
      <w:r>
        <w:t xml:space="preserve"> </w:t>
      </w:r>
      <w:r>
        <w:t xml:space="preserve">places immense pressure on local businesses, necessitating innovative operational models that go beyond traditional dispensing.</w:t>
      </w:r>
    </w:p>
    <w:bookmarkEnd w:id="20"/>
    <w:bookmarkStart w:id="21" w:name="X74adbf14e5747009e06371f652e843d32b5db47"/>
    <w:p>
      <w:pPr>
        <w:pStyle w:val="Heading2"/>
      </w:pPr>
      <w:r>
        <w:t xml:space="preserve">The Challenge: Navigating a Saturated Market</w:t>
      </w:r>
    </w:p>
    <w:p>
      <w:pPr>
        <w:pStyle w:val="FirstParagraph"/>
      </w:pPr>
      <w:r>
        <w:t xml:space="preserve">The primary challenge faced by this</w:t>
      </w:r>
      <w:r>
        <w:t xml:space="preserve"> </w:t>
      </w:r>
      <w:r>
        <w:rPr>
          <w:bCs/>
          <w:b/>
        </w:rPr>
        <w:t xml:space="preserve">Chemist</w:t>
      </w:r>
      <w:r>
        <w:t xml:space="preserve"> </w:t>
      </w:r>
      <w:r>
        <w:t xml:space="preserve">was the erosion of traditional profit margins driven by price competition from large supermarket chains. In many parts of the UK, major retailers sell over-the-counter medications and basic toiletries at prices that independent stores cannot match. Additionally, the rise of online pharmacy delivery services threatened to remove foot traffic entirely from high streets across</w:t>
      </w:r>
      <w:r>
        <w:t xml:space="preserve"> </w:t>
      </w:r>
      <w:r>
        <w:rPr>
          <w:bCs/>
          <w:b/>
        </w:rPr>
        <w:t xml:space="preserve">United Kingdom London</w:t>
      </w:r>
      <w:r>
        <w:t xml:space="preserve">.</w:t>
      </w:r>
    </w:p>
    <w:p>
      <w:pPr>
        <w:pStyle w:val="BodyText"/>
      </w:pPr>
      <w:r>
        <w:t xml:space="preserve">Beyond commercial pressures, there was a significant public health challenge. The local GP (General Practitioner) wait times were increasing significantly due to national staffing shortages. Patients were increasingly turning to pharmacies for minor ailments that previously would have required a GP appointment. However, the</w:t>
      </w:r>
      <w:r>
        <w:t xml:space="preserve"> </w:t>
      </w:r>
      <w:r>
        <w:rPr>
          <w:bCs/>
          <w:b/>
        </w:rPr>
        <w:t xml:space="preserve">Chemist</w:t>
      </w:r>
      <w:r>
        <w:t xml:space="preserve"> </w:t>
      </w:r>
      <w:r>
        <w:t xml:space="preserve">lacked the infrastructure and trained personnel to handle this influx efficiently while maintaining its retail operations.</w:t>
      </w:r>
    </w:p>
    <w:bookmarkEnd w:id="21"/>
    <w:bookmarkStart w:id="25" w:name="Xcd824b3dd3606b19f09a31e99b9f1ad441a0684"/>
    <w:p>
      <w:pPr>
        <w:pStyle w:val="Heading2"/>
      </w:pPr>
      <w:r>
        <w:t xml:space="preserve">The Strategic Response: A Shift Towards Clinical Services</w:t>
      </w:r>
    </w:p>
    <w:p>
      <w:pPr>
        <w:pStyle w:val="FirstParagraph"/>
      </w:pPr>
      <w:r>
        <w:t xml:space="preserve">To address these challenges, the management of the</w:t>
      </w:r>
      <w:r>
        <w:t xml:space="preserve"> </w:t>
      </w:r>
      <w:r>
        <w:rPr>
          <w:bCs/>
          <w:b/>
        </w:rPr>
        <w:t xml:space="preserve">Chemist</w:t>
      </w:r>
      <w:r>
        <w:t xml:space="preserve"> </w:t>
      </w:r>
      <w:r>
        <w:t xml:space="preserve">implemented a comprehensive strategy centered on three pillars: clinical service expansion, digital integration, and community engagement. This transformation was not merely cosmetic; it required a fundamental shift in business model from product-centric to patient-centric.</w:t>
      </w:r>
    </w:p>
    <w:bookmarkStart w:id="22" w:name="expansion-of-nhs-clinical-services"/>
    <w:p>
      <w:pPr>
        <w:pStyle w:val="Heading3"/>
      </w:pPr>
      <w:r>
        <w:t xml:space="preserve">1. Expansion of NHS Clinical Services</w:t>
      </w:r>
    </w:p>
    <w:p>
      <w:pPr>
        <w:pStyle w:val="FirstParagraph"/>
      </w:pPr>
      <w:r>
        <w:t xml:space="preserve">The first major step was leveraging the evolving framework of the NHS in</w:t>
      </w:r>
      <w:r>
        <w:t xml:space="preserve"> </w:t>
      </w:r>
      <w:r>
        <w:rPr>
          <w:bCs/>
          <w:b/>
        </w:rPr>
        <w:t xml:space="preserve">United Kingdom London</w:t>
      </w:r>
      <w:r>
        <w:t xml:space="preserve">, which increasingly encourages pharmacies to take on clinical responsibilities. The</w:t>
      </w:r>
      <w:r>
        <w:t xml:space="preserve"> </w:t>
      </w:r>
      <w:r>
        <w:rPr>
          <w:bCs/>
          <w:b/>
        </w:rPr>
        <w:t xml:space="preserve">Chemist</w:t>
      </w:r>
      <w:r>
        <w:t xml:space="preserve"> </w:t>
      </w:r>
      <w:r>
        <w:t xml:space="preserve">invested heavily in staff training, ensuring that all pharmacists were accredited to provide Advanced Services. These included:</w:t>
      </w:r>
    </w:p>
    <w:p>
      <w:pPr>
        <w:numPr>
          <w:ilvl w:val="0"/>
          <w:numId w:val="1001"/>
        </w:numPr>
        <w:pStyle w:val="Compact"/>
      </w:pPr>
      <w:r>
        <w:rPr>
          <w:bCs/>
          <w:b/>
        </w:rPr>
        <w:t xml:space="preserve">New Medicine Service (NMS):</w:t>
      </w:r>
      <w:r>
        <w:t xml:space="preserve"> </w:t>
      </w:r>
      <w:r>
        <w:t xml:space="preserve">Supporting patients starting new long-term conditions medications.</w:t>
      </w:r>
    </w:p>
    <w:p>
      <w:pPr>
        <w:numPr>
          <w:ilvl w:val="0"/>
          <w:numId w:val="1001"/>
        </w:numPr>
        <w:pStyle w:val="Compact"/>
      </w:pPr>
      <w:r>
        <w:rPr>
          <w:bCs/>
          <w:b/>
        </w:rPr>
        <w:t xml:space="preserve">Vaccination Services:</w:t>
      </w:r>
      <w:r>
        <w:t xml:space="preserve"> </w:t>
      </w:r>
      <w:r>
        <w:t xml:space="preserve">Acting as a local vaccination hub for flu, shingles, and travel vaccines.</w:t>
      </w:r>
    </w:p>
    <w:p>
      <w:pPr>
        <w:numPr>
          <w:ilvl w:val="0"/>
          <w:numId w:val="1001"/>
        </w:numPr>
        <w:pStyle w:val="Compact"/>
      </w:pPr>
      <w:r>
        <w:rPr>
          <w:bCs/>
          <w:b/>
        </w:rPr>
        <w:t xml:space="preserve">Atrial Fibrillation Screening:</w:t>
      </w:r>
      <w:r>
        <w:t xml:space="preserve"> </w:t>
      </w:r>
      <w:r>
        <w:t xml:space="preserve">Utilizing handheld devices to screen patients for irregular heart rhythms, referring positive cases to GPs immediately.</w:t>
      </w:r>
    </w:p>
    <w:p>
      <w:pPr>
        <w:pStyle w:val="FirstParagraph"/>
      </w:pPr>
      <w:r>
        <w:t xml:space="preserve">This shift allowed the business to generate revenue through service fees paid by the NHS, offsetting lower retail margins. It also positioned the</w:t>
      </w:r>
      <w:r>
        <w:t xml:space="preserve"> </w:t>
      </w:r>
      <w:r>
        <w:rPr>
          <w:bCs/>
          <w:b/>
        </w:rPr>
        <w:t xml:space="preserve">Chemist</w:t>
      </w:r>
      <w:r>
        <w:t xml:space="preserve"> </w:t>
      </w:r>
      <w:r>
        <w:t xml:space="preserve">as a vital health partner in</w:t>
      </w:r>
      <w:r>
        <w:t xml:space="preserve"> </w:t>
      </w:r>
      <w:r>
        <w:rPr>
          <w:bCs/>
          <w:b/>
        </w:rPr>
        <w:t xml:space="preserve">United Kingdom London</w:t>
      </w:r>
      <w:r>
        <w:t xml:space="preserve">, rather than just a shop.</w:t>
      </w:r>
    </w:p>
    <w:bookmarkEnd w:id="22"/>
    <w:bookmarkStart w:id="23" w:name="X5058755b7f72a4d622c2f74846cbcf8ac9530a3"/>
    <w:p>
      <w:pPr>
        <w:pStyle w:val="Heading3"/>
      </w:pPr>
      <w:r>
        <w:t xml:space="preserve">2. Digital Transformation and Telehealth Integration</w:t>
      </w:r>
    </w:p>
    <w:p>
      <w:pPr>
        <w:pStyle w:val="FirstParagraph"/>
      </w:pPr>
      <w:r>
        <w:t xml:space="preserve">In a city where smartphone penetration is nearly universal, the</w:t>
      </w:r>
      <w:r>
        <w:t xml:space="preserve"> </w:t>
      </w:r>
      <w:r>
        <w:rPr>
          <w:bCs/>
          <w:b/>
        </w:rPr>
        <w:t xml:space="preserve">Chemist</w:t>
      </w:r>
      <w:r>
        <w:t xml:space="preserve"> </w:t>
      </w:r>
      <w:r>
        <w:t xml:space="preserve">developed an integrated digital platform. Patients in</w:t>
      </w:r>
      <w:r>
        <w:t xml:space="preserve"> </w:t>
      </w:r>
      <w:r>
        <w:rPr>
          <w:bCs/>
          <w:b/>
        </w:rPr>
        <w:t xml:space="preserve">United Kingdom London</w:t>
      </w:r>
    </w:p>
    <w:bookmarkEnd w:id="23"/>
    <w:bookmarkStart w:id="24" w:name="community-trust-building"/>
    <w:p>
      <w:pPr>
        <w:pStyle w:val="Heading3"/>
      </w:pPr>
      <w:r>
        <w:t xml:space="preserve">3. Community Trust Building</w:t>
      </w:r>
    </w:p>
    <w:p>
      <w:pPr>
        <w:pStyle w:val="FirstParagraph"/>
      </w:pPr>
      <w:r>
        <w:t xml:space="preserve">The</w:t>
      </w:r>
      <w:r>
        <w:t xml:space="preserve"> </w:t>
      </w:r>
      <w:r>
        <w:rPr>
          <w:bCs/>
          <w:b/>
        </w:rPr>
        <w:t xml:space="preserve">Chemist United Kingdom London Chemist</w:t>
      </w:r>
      <w:r>
        <w:t xml:space="preserve"> </w:t>
      </w:r>
      <w:r>
        <w:t xml:space="preserve">as a neighborhood staple rather than a commercial entity.</w:t>
      </w:r>
    </w:p>
    <w:bookmarkEnd w:id="24"/>
    <w:bookmarkEnd w:id="25"/>
    <w:bookmarkStart w:id="26" w:name="the-outcome-measurable-success"/>
    <w:p>
      <w:pPr>
        <w:pStyle w:val="Heading2"/>
      </w:pPr>
      <w:r>
        <w:t xml:space="preserve">The Outcome: Measurable Success</w:t>
      </w:r>
    </w:p>
    <w:p>
      <w:pPr>
        <w:pStyle w:val="FirstParagraph"/>
      </w:pPr>
      <w:r>
        <w:t xml:space="preserve">The transformation yielded remarkable results over an eighteen-month period. Financially, while retail sales of non-prescription goods remained flat, overall revenue grew by 15% due to the increased volume of clinical service reimbursements from the NHS. The cost savings from reduced inventory waste through digital prediction models also improved net profitability.</w:t>
      </w:r>
    </w:p>
    <w:p>
      <w:pPr>
        <w:pStyle w:val="BodyText"/>
      </w:pPr>
      <w:r>
        <w:t xml:space="preserve">From a public health perspective in</w:t>
      </w:r>
      <w:r>
        <w:t xml:space="preserve"> </w:t>
      </w:r>
      <w:r>
        <w:rPr>
          <w:bCs/>
          <w:b/>
        </w:rPr>
        <w:t xml:space="preserve">United Kingdom London</w:t>
      </w:r>
      <w:r>
        <w:t xml:space="preserve">, the impact was significant. The</w:t>
      </w:r>
      <w:r>
        <w:t xml:space="preserve"> </w:t>
      </w:r>
      <w:r>
        <w:rPr>
          <w:bCs/>
          <w:b/>
        </w:rPr>
        <w:t xml:space="preserve">Chemist</w:t>
      </w:r>
    </w:p>
    <w:bookmarkEnd w:id="26"/>
    <w:bookmarkStart w:id="27" w:name="key-lessons-for-stakeholders"/>
    <w:p>
      <w:pPr>
        <w:pStyle w:val="Heading2"/>
      </w:pPr>
      <w:r>
        <w:t xml:space="preserve">Key Lessons for Stakeholders</w:t>
      </w:r>
    </w:p>
    <w:p>
      <w:pPr>
        <w:pStyle w:val="FirstParagraph"/>
      </w:pPr>
      <w:r>
        <w:t xml:space="preserve">This case study offers several critical lessons for other healthcare providers, particularly those operating in urban centers within the</w:t>
      </w:r>
      <w:r>
        <w:t xml:space="preserve"> </w:t>
      </w:r>
      <w:r>
        <w:rPr>
          <w:bCs/>
          <w:b/>
        </w:rPr>
        <w:t xml:space="preserve">United Kingdom London</w:t>
      </w:r>
      <w:r>
        <w:t xml:space="preserve"> </w:t>
      </w:r>
      <w:r>
        <w:t xml:space="preserve">region:</w:t>
      </w:r>
    </w:p>
    <w:p>
      <w:pPr>
        <w:numPr>
          <w:ilvl w:val="0"/>
          <w:numId w:val="1002"/>
        </w:numPr>
        <w:pStyle w:val="Compact"/>
      </w:pPr>
      <w:r>
        <w:rPr>
          <w:bCs/>
          <w:b/>
        </w:rPr>
        <w:t xml:space="preserve">Diversification is Survival:</w:t>
      </w:r>
      <w:r>
        <w:t xml:space="preserve"> </w:t>
      </w:r>
      <w:r>
        <w:t xml:space="preserve">Relying solely on prescription dispensing is no longer sustainable. Independent pharmacies must embrace clinical roles.</w:t>
      </w:r>
    </w:p>
    <w:p>
      <w:pPr>
        <w:numPr>
          <w:ilvl w:val="0"/>
          <w:numId w:val="1002"/>
        </w:numPr>
        <w:pStyle w:val="Compact"/>
      </w:pPr>
      <w:r>
        <w:rPr>
          <w:bCs/>
          <w:b/>
        </w:rPr>
        <w:t xml:space="preserve">Tech as an Enabler, Not a Replacement:</w:t>
      </w:r>
      <w:r>
        <w:t xml:space="preserve"> </w:t>
      </w:r>
      <w:r>
        <w:t xml:space="preserve">Digital tools should enhance human interaction, not replace it. In a diverse city like London, face-to-face trust remains paramount.</w:t>
      </w:r>
    </w:p>
    <w:p>
      <w:pPr>
        <w:numPr>
          <w:ilvl w:val="0"/>
          <w:numId w:val="1002"/>
        </w:numPr>
        <w:pStyle w:val="Compact"/>
      </w:pPr>
      <w:r>
        <w:rPr>
          <w:bCs/>
          <w:b/>
        </w:rPr>
        <w:t xml:space="preserve">Local Relevance:</w:t>
      </w:r>
      <w:r>
        <w:t xml:space="preserve"> </w:t>
      </w:r>
      <w:r>
        <w:t xml:space="preserve">Understanding the specific demographic mix of your borough in</w:t>
      </w:r>
      <w:r>
        <w:t xml:space="preserve"> </w:t>
      </w:r>
      <w:r>
        <w:rPr>
          <w:bCs/>
          <w:b/>
        </w:rPr>
        <w:t xml:space="preserve">United Kingdom London</w:t>
      </w:r>
    </w:p>
    <w:p>
      <w:pPr>
        <w:pStyle w:val="FirstParagraph"/>
      </w:pPr>
      <w:r>
        <w:t xml:space="preserve">p&gt;This case study illustrates that when a United Kingdom London chemist adapts to changing healthcare landscapes by integrating clinical services, technology, and community focus, it can achieve both commercial resilience and meaningful public health impact.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Community Integration and Digital Innovation in a United Kingdom London Chemist</dc:title>
  <dc:creator/>
  <dc:language>en</dc:language>
  <cp:keywords/>
  <dcterms:created xsi:type="dcterms:W3CDTF">2026-07-29T17:54:18Z</dcterms:created>
  <dcterms:modified xsi:type="dcterms:W3CDTF">2026-07-29T17:54:18Z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