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Leading</w:t>
      </w:r>
      <w:r>
        <w:t xml:space="preserve"> </w:t>
      </w:r>
      <w:r>
        <w:t xml:space="preserve">Chemist</w:t>
      </w:r>
      <w:r>
        <w:t xml:space="preserve"> </w:t>
      </w:r>
      <w:r>
        <w:t xml:space="preserve">Network</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X2b7b3df199b828afb99da4b8a4399c2288baf10"/>
    <w:p>
      <w:pPr>
        <w:pStyle w:val="Heading1"/>
      </w:pPr>
      <w:r>
        <w:t xml:space="preserve">Bridging Science and Community Care: A Case Study on the Evolution of a Chemist in United States Chicago</w:t>
      </w:r>
    </w:p>
    <w:bookmarkStart w:id="20" w:name="executive-summary"/>
    <w:p>
      <w:pPr>
        <w:pStyle w:val="Heading2"/>
      </w:pPr>
      <w:r>
        <w:t xml:space="preserve">Executive Summary</w:t>
      </w:r>
    </w:p>
    <w:p>
      <w:pPr>
        <w:pStyle w:val="FirstParagraph"/>
      </w:pPr>
      <w:r>
        <w:t xml:space="preserve">This document presents a comprehensive case study analyzing the operational, regulatory, and community-focused strategies of a prominent</w:t>
      </w:r>
      <w:r>
        <w:t xml:space="preserve"> </w:t>
      </w:r>
      <w:r>
        <w:rPr>
          <w:bCs/>
          <w:b/>
        </w:rPr>
        <w:t xml:space="preserve">Chemist</w:t>
      </w:r>
      <w:r>
        <w:t xml:space="preserve"> </w:t>
      </w:r>
      <w:r>
        <w:t xml:space="preserve">network operating within the bustling metropolis of</w:t>
      </w:r>
      <w:r>
        <w:t xml:space="preserve"> </w:t>
      </w:r>
      <w:r>
        <w:rPr>
          <w:bCs/>
          <w:b/>
        </w:rPr>
        <w:t xml:space="preserve">United States Chicago</w:t>
      </w:r>
      <w:r>
        <w:t xml:space="preserve">. As healthcare landscapes shift towards patient-centric models, independent and chain pharmacies alike face immense pressure to innovate. This case study explores how modernizing pharmacy services in one of America’s most diverse cities can lead to sustainable growth, improved public health outcomes, and enhanced brand loyalty.</w:t>
      </w:r>
    </w:p>
    <w:bookmarkEnd w:id="20"/>
    <w:bookmarkStart w:id="21" w:name="X9a9393ec5dc6abd3e344bdf5e00394455f9289a"/>
    <w:p>
      <w:pPr>
        <w:pStyle w:val="Heading2"/>
      </w:pPr>
      <w:r>
        <w:t xml:space="preserve">1. Introduction: The Role of the Modern Chemist</w:t>
      </w:r>
    </w:p>
    <w:p>
      <w:pPr>
        <w:pStyle w:val="FirstParagraph"/>
      </w:pPr>
      <w:r>
        <w:t xml:space="preserve">In the context of American healthcare, the term "chemist" often refers to a pharmacist or a pharmacy establishment responsible for compounding, dispensing, and distributing pharmaceutical products. However, in contemporary practice, particularly in major urban hubs like Chicago, the role has evolved significantly. A modern</w:t>
      </w:r>
      <w:r>
        <w:t xml:space="preserve"> </w:t>
      </w:r>
      <w:r>
        <w:rPr>
          <w:bCs/>
          <w:b/>
        </w:rPr>
        <w:t xml:space="preserve">Chemist</w:t>
      </w:r>
      <w:r>
        <w:t xml:space="preserve"> </w:t>
      </w:r>
      <w:r>
        <w:t xml:space="preserve">is no longer merely a dispenser of medication but acts as an accessible healthcare provider.</w:t>
      </w:r>
    </w:p>
    <w:p>
      <w:pPr>
        <w:pStyle w:val="BodyText"/>
      </w:pPr>
      <w:r>
        <w:t xml:space="preserve">The challenge for any</w:t>
      </w:r>
      <w:r>
        <w:t xml:space="preserve"> </w:t>
      </w:r>
      <w:r>
        <w:rPr>
          <w:bCs/>
          <w:b/>
        </w:rPr>
        <w:t xml:space="preserve">Chemist</w:t>
      </w:r>
      <w:r>
        <w:t xml:space="preserve"> </w:t>
      </w:r>
      <w:r>
        <w:t xml:space="preserve">operating in this region is to balance strict regulatory compliance with the demand for immediate, personalized care. This case study focuses on a representative model of such an establishment that has successfully integrated clinical services into its daily operations, serving as a benchmark for other potential entrants or existing players looking to revitalize their market position in</w:t>
      </w:r>
      <w:r>
        <w:t xml:space="preserve"> </w:t>
      </w:r>
      <w:r>
        <w:rPr>
          <w:bCs/>
          <w:b/>
        </w:rPr>
        <w:t xml:space="preserve">United States Chicago</w:t>
      </w:r>
      <w:r>
        <w:t xml:space="preserve">.</w:t>
      </w:r>
    </w:p>
    <w:bookmarkEnd w:id="21"/>
    <w:bookmarkStart w:id="24" w:name="market-context-united-states-chicago"/>
    <w:p>
      <w:pPr>
        <w:pStyle w:val="Heading2"/>
      </w:pPr>
      <w:r>
        <w:t xml:space="preserve">2. Market Context: United States Chicago</w:t>
      </w:r>
    </w:p>
    <w:p>
      <w:pPr>
        <w:pStyle w:val="FirstParagraph"/>
      </w:pPr>
      <w:r>
        <w:rPr>
          <w:bCs/>
          <w:b/>
        </w:rPr>
        <w:t xml:space="preserve">United States Chicago</w:t>
      </w:r>
      <w:r>
        <w:t xml:space="preserve">, known as the "Windy City," presents a unique ecosystem for healthcare businesses. With a population exceeding 2.7 million, the city offers immense demographic diversity, ranging from affluent suburbs to dense urban cores. This diversity creates varied healthcare needs.</w:t>
      </w:r>
    </w:p>
    <w:bookmarkStart w:id="22" w:name="demographic-and-geographic-challenges"/>
    <w:p>
      <w:pPr>
        <w:pStyle w:val="Heading3"/>
      </w:pPr>
      <w:r>
        <w:t xml:space="preserve">2.1 Demographic and Geographic Challenges</w:t>
      </w:r>
    </w:p>
    <w:p>
      <w:pPr>
        <w:pStyle w:val="FirstParagraph"/>
      </w:pPr>
      <w:r>
        <w:t xml:space="preserve">The geography of Chicago means that access to quality pharmacy services is not uniform across all neighborhoods. While the Loop and Gold Coast have high concentrations of medical facilities, areas such as the South Side or parts of the West Side often suffer from "pharmacy deserts." For a</w:t>
      </w:r>
      <w:r>
        <w:t xml:space="preserve"> </w:t>
      </w:r>
      <w:r>
        <w:rPr>
          <w:bCs/>
          <w:b/>
        </w:rPr>
        <w:t xml:space="preserve">Chemist</w:t>
      </w:r>
      <w:r>
        <w:t xml:space="preserve"> </w:t>
      </w:r>
      <w:r>
        <w:t xml:space="preserve">aiming to expand in</w:t>
      </w:r>
      <w:r>
        <w:t xml:space="preserve"> </w:t>
      </w:r>
      <w:r>
        <w:rPr>
          <w:bCs/>
          <w:b/>
        </w:rPr>
        <w:t xml:space="preserve">United States Chicago</w:t>
      </w:r>
      <w:r>
        <w:t xml:space="preserve">, understanding these geographic disparities is crucial for strategic site selection.</w:t>
      </w:r>
    </w:p>
    <w:bookmarkEnd w:id="22"/>
    <w:bookmarkStart w:id="23" w:name="regulatory-environment"/>
    <w:p>
      <w:pPr>
        <w:pStyle w:val="Heading3"/>
      </w:pPr>
      <w:r>
        <w:t xml:space="preserve">2.2 Regulatory Environment</w:t>
      </w:r>
    </w:p>
    <w:p>
      <w:pPr>
        <w:pStyle w:val="FirstParagraph"/>
      </w:pPr>
      <w:r>
        <w:t xml:space="preserve">The Illinois Department of Financial and Professional Regulation (IDFPR) imposes strict guidelines on the practice of pharmacy. Compliance with state-specific laws regarding controlled substances, prescription verification, and data privacy (HIPAA) is non-negotiable. A successful</w:t>
      </w:r>
      <w:r>
        <w:t xml:space="preserve"> </w:t>
      </w:r>
      <w:r>
        <w:rPr>
          <w:bCs/>
          <w:b/>
        </w:rPr>
        <w:t xml:space="preserve">Chemist</w:t>
      </w:r>
      <w:r>
        <w:t xml:space="preserve"> </w:t>
      </w:r>
      <w:r>
        <w:t xml:space="preserve">in this region must invest heavily in compliance infrastructure to avoid penalties and maintain public trust.</w:t>
      </w:r>
    </w:p>
    <w:bookmarkEnd w:id="23"/>
    <w:bookmarkEnd w:id="24"/>
    <w:bookmarkStart w:id="28" w:name="Xbdf56b70c7c6002370d63d71b65ead7e4dda8ed"/>
    <w:p>
      <w:pPr>
        <w:pStyle w:val="Heading2"/>
      </w:pPr>
      <w:r>
        <w:t xml:space="preserve">3. Strategic Initiatives of the Case Study Subject</w:t>
      </w:r>
    </w:p>
    <w:p>
      <w:pPr>
        <w:pStyle w:val="FirstParagraph"/>
      </w:pPr>
      <w:r>
        <w:t xml:space="preserve">The subject of this case study, a mid-sized pharmacy chain with five locations across</w:t>
      </w:r>
      <w:r>
        <w:t xml:space="preserve"> </w:t>
      </w:r>
      <w:r>
        <w:rPr>
          <w:bCs/>
          <w:b/>
        </w:rPr>
        <w:t xml:space="preserve">United States Chicago</w:t>
      </w:r>
      <w:r>
        <w:t xml:space="preserve">, implemented a three-pillar strategy to differentiate itself from large national competitors.</w:t>
      </w:r>
    </w:p>
    <w:bookmarkStart w:id="25" w:name="X48bbacc5db424139209645b54cae66650038823"/>
    <w:p>
      <w:pPr>
        <w:pStyle w:val="Heading3"/>
      </w:pPr>
      <w:r>
        <w:t xml:space="preserve">3.1 Clinical Integration and Immunization Services</w:t>
      </w:r>
    </w:p>
    <w:p>
      <w:pPr>
        <w:pStyle w:val="FirstParagraph"/>
      </w:pPr>
      <w:r>
        <w:t xml:space="preserve">Rather than viewing the</w:t>
      </w:r>
      <w:r>
        <w:t xml:space="preserve"> </w:t>
      </w:r>
      <w:r>
        <w:rPr>
          <w:bCs/>
          <w:b/>
        </w:rPr>
        <w:t xml:space="preserve">Chemist</w:t>
      </w:r>
      <w:r>
        <w:t xml:space="preserve">'s counter as a transactional point, this entity transformed it into a consultation hub. They expanded their scope of practice to include flu shots, travel vaccinations, and chronic disease management workshops (such as diabetes and hypertension monitoring). By positioning the</w:t>
      </w:r>
      <w:r>
        <w:t xml:space="preserve"> </w:t>
      </w:r>
      <w:r>
        <w:rPr>
          <w:bCs/>
          <w:b/>
        </w:rPr>
        <w:t xml:space="preserve">Chemist</w:t>
      </w:r>
      <w:r>
        <w:t xml:space="preserve"> </w:t>
      </w:r>
      <w:r>
        <w:t xml:space="preserve">as a preventative care provider, they increased foot traffic among healthy individuals who might not otherwise visit the store.</w:t>
      </w:r>
    </w:p>
    <w:bookmarkEnd w:id="25"/>
    <w:bookmarkStart w:id="26" w:name="technology-driven-efficiency"/>
    <w:p>
      <w:pPr>
        <w:pStyle w:val="Heading3"/>
      </w:pPr>
      <w:r>
        <w:t xml:space="preserve">3.2 Technology-Driven Efficiency</w:t>
      </w:r>
    </w:p>
    <w:p>
      <w:pPr>
        <w:pStyle w:val="FirstParagraph"/>
      </w:pPr>
      <w:r>
        <w:t xml:space="preserve">To combat long wait times—a common complaint in busy urban pharmacies—the network implemented an AI-driven inventory management system and a robust mobile application for prescription refills. This technological leap allowed pharmacists to spend less time on logistics and more time on patient interaction. In</w:t>
      </w:r>
      <w:r>
        <w:t xml:space="preserve"> </w:t>
      </w:r>
      <w:r>
        <w:rPr>
          <w:bCs/>
          <w:b/>
        </w:rPr>
        <w:t xml:space="preserve">United States Chicago</w:t>
      </w:r>
      <w:r>
        <w:t xml:space="preserve">, where the pace of life is rapid, convenience became a primary value proposition.</w:t>
      </w:r>
    </w:p>
    <w:bookmarkEnd w:id="26"/>
    <w:bookmarkStart w:id="27" w:name="community-engagement"/>
    <w:p>
      <w:pPr>
        <w:pStyle w:val="Heading3"/>
      </w:pPr>
      <w:r>
        <w:t xml:space="preserve">3.3 Community Engagement</w:t>
      </w:r>
    </w:p>
    <w:p>
      <w:pPr>
        <w:pStyle w:val="FirstParagraph"/>
      </w:pPr>
      <w:r>
        <w:t xml:space="preserve">The brand launched "Health Hubs," localized programs designed to address specific community needs. For example, in neighborhoods with high elderly populations, the</w:t>
      </w:r>
      <w:r>
        <w:t xml:space="preserve"> </w:t>
      </w:r>
      <w:r>
        <w:rPr>
          <w:bCs/>
          <w:b/>
        </w:rPr>
        <w:t xml:space="preserve">Chemist</w:t>
      </w:r>
      <w:r>
        <w:t xml:space="preserve"> </w:t>
      </w:r>
      <w:r>
        <w:t xml:space="preserve">partnered with local social services to provide medication synchronization and delivery options. In areas with younger demographics, they focused on wellness products and mental health resources.</w:t>
      </w:r>
    </w:p>
    <w:bookmarkEnd w:id="27"/>
    <w:bookmarkEnd w:id="28"/>
    <w:bookmarkStart w:id="29" w:name="implementation-challenges-and-solutions"/>
    <w:p>
      <w:pPr>
        <w:pStyle w:val="Heading2"/>
      </w:pPr>
      <w:r>
        <w:t xml:space="preserve">4. Implementation Challenges and Solutions</w:t>
      </w:r>
    </w:p>
    <w:p>
      <w:pPr>
        <w:pStyle w:val="FirstParagraph"/>
      </w:pPr>
      <w:r>
        <w:t xml:space="preserve">The journey was not without obstacles. The case study highlights three major challenges faced by the</w:t>
      </w:r>
      <w:r>
        <w:t xml:space="preserve"> </w:t>
      </w:r>
      <w:r>
        <w:rPr>
          <w:bCs/>
          <w:b/>
        </w:rPr>
        <w:t xml:space="preserve">Chemist</w:t>
      </w:r>
      <w:r>
        <w:t xml:space="preserve">:</w:t>
      </w:r>
    </w:p>
    <w:p>
      <w:pPr>
        <w:numPr>
          <w:ilvl w:val="0"/>
          <w:numId w:val="1001"/>
        </w:numPr>
        <w:pStyle w:val="Compact"/>
      </w:pPr>
      <w:r>
        <w:rPr>
          <w:bCs/>
          <w:b/>
        </w:rPr>
        <w:t xml:space="preserve">Talent Retention:</w:t>
      </w:r>
      <w:r>
        <w:t xml:space="preserve"> </w:t>
      </w:r>
      <w:r>
        <w:t xml:space="preserve">Finding qualified pharmacists in a competitive labor market in</w:t>
      </w:r>
      <w:r>
        <w:t xml:space="preserve"> </w:t>
      </w:r>
      <w:r>
        <w:rPr>
          <w:bCs/>
          <w:b/>
        </w:rPr>
        <w:t xml:space="preserve">United States Chicago</w:t>
      </w:r>
      <w:r>
        <w:t xml:space="preserve"> </w:t>
      </w:r>
      <w:r>
        <w:t xml:space="preserve">was difficult.</w:t>
      </w:r>
      <w:r>
        <w:br/>
      </w:r>
      <w:r>
        <w:rPr>
          <w:iCs/>
          <w:i/>
        </w:rPr>
        <w:t xml:space="preserve">Solution:</w:t>
      </w:r>
      <w:r>
        <w:t xml:space="preserve"> </w:t>
      </w:r>
      <w:r>
        <w:t xml:space="preserve">The company introduced competitive salary structures and clear career pathways for clinical specialization.</w:t>
      </w:r>
    </w:p>
    <w:p>
      <w:pPr>
        <w:numPr>
          <w:ilvl w:val="0"/>
          <w:numId w:val="1001"/>
        </w:numPr>
        <w:pStyle w:val="Compact"/>
      </w:pPr>
      <w:r>
        <w:t xml:space="preserve">Payer Reimbursement Rates:</w:t>
      </w:r>
      <w:r>
        <w:rPr>
          <w:iCs/>
          <w:i/>
        </w:rPr>
        <w:t xml:space="preserve">Solution:</w:t>
      </w:r>
      <w:r>
        <w:t xml:space="preserve"> </w:t>
      </w:r>
      <w:r>
        <w:t xml:space="preserve">The</w:t>
      </w:r>
      <w:r>
        <w:t xml:space="preserve"> </w:t>
      </w:r>
      <w:r>
        <w:rPr>
          <w:bCs/>
          <w:b/>
        </w:rPr>
        <w:t xml:space="preserve">Chemist</w:t>
      </w:r>
      <w:r>
        <w:t xml:space="preserve"> </w:t>
      </w:r>
      <w:r>
        <w:t xml:space="preserve">diversified revenue streams by introducing cash-pay services, such as compounding personalized medications and cosmetic dermatology consultations.</w:t>
      </w:r>
    </w:p>
    <w:p>
      <w:pPr>
        <w:numPr>
          <w:ilvl w:val="0"/>
          <w:numId w:val="1001"/>
        </w:numPr>
        <w:pStyle w:val="Compact"/>
      </w:pPr>
      <w:r>
        <w:t xml:space="preserve">Digital Competition:</w:t>
      </w:r>
      <w:r>
        <w:rPr>
          <w:iCs/>
          <w:i/>
        </w:rPr>
        <w:t xml:space="preserve">Solution:</w:t>
      </w:r>
      <w:r>
        <w:t xml:space="preserve"> </w:t>
      </w:r>
      <w:r>
        <w:t xml:space="preserve">The physical stores emphasized the "human element," leveraging the trust inherent in local community relationships that mail-order could not replicate.</w:t>
      </w:r>
    </w:p>
    <w:bookmarkEnd w:id="29"/>
    <w:bookmarkStart w:id="32" w:name="outcomes-and-impact-analysis"/>
    <w:p>
      <w:pPr>
        <w:pStyle w:val="Heading2"/>
      </w:pPr>
      <w:r>
        <w:t xml:space="preserve">5. Outcomes and Impact Analysis</w:t>
      </w:r>
    </w:p>
    <w:p>
      <w:pPr>
        <w:pStyle w:val="FirstParagraph"/>
      </w:pPr>
      <w:r>
        <w:t xml:space="preserve">The strategic pivot yielded significant results over a three-year period. Financial metrics showed a 15% year-over-year revenue growth, driven largely by clinical services rather than prescription volume alone.</w:t>
      </w:r>
    </w:p>
    <w:bookmarkStart w:id="30" w:name="health-metrics"/>
    <w:p>
      <w:pPr>
        <w:pStyle w:val="Heading3"/>
      </w:pPr>
      <w:r>
        <w:t xml:space="preserve">5.1 Health Metrics</w:t>
      </w:r>
    </w:p>
    <w:p>
      <w:pPr>
        <w:pStyle w:val="FirstParagraph"/>
      </w:pPr>
      <w:r>
        <w:t xml:space="preserve">Patient outcomes improved measurably in the catchment areas of</w:t>
      </w:r>
      <w:r>
        <w:t xml:space="preserve"> </w:t>
      </w:r>
      <w:r>
        <w:rPr>
          <w:bCs/>
          <w:b/>
        </w:rPr>
        <w:t xml:space="preserve">United States Chicago</w:t>
      </w:r>
      <w:r>
        <w:t xml:space="preserve">. Blood pressure control rates among diabetic patients enrolled in the pharmacy’s management program increased by 20%. This data not only improved community health but also served as a powerful marketing tool, reinforcing the brand's reputation as a responsible</w:t>
      </w:r>
      <w:r>
        <w:t xml:space="preserve"> </w:t>
      </w:r>
      <w:r>
        <w:rPr>
          <w:bCs/>
          <w:b/>
        </w:rPr>
        <w:t xml:space="preserve">Chemist</w:t>
      </w:r>
      <w:r>
        <w:t xml:space="preserve">.</w:t>
      </w:r>
    </w:p>
    <w:bookmarkEnd w:id="30"/>
    <w:bookmarkStart w:id="31" w:name="brand-loyalty"/>
    <w:p>
      <w:pPr>
        <w:pStyle w:val="Heading3"/>
      </w:pPr>
      <w:r>
        <w:t xml:space="preserve">5.2 Brand Loyalty</w:t>
      </w:r>
    </w:p>
    <w:p>
      <w:pPr>
        <w:pStyle w:val="FirstParagraph"/>
      </w:pPr>
      <w:r>
        <w:t xml:space="preserve">Satisfaction scores reached an all-time high. Customers reported higher levels of trust and satisfaction, citing the pharmacists' willingness to educate them on their medications. This emotional connection created a barrier to entry for competitors.</w:t>
      </w:r>
    </w:p>
    <w:bookmarkEnd w:id="31"/>
    <w:bookmarkEnd w:id="32"/>
    <w:bookmarkStart w:id="33" w:name="Xcaaaf4dc18dd1cdb9629a269fbb2c83729259b9"/>
    <w:p>
      <w:pPr>
        <w:pStyle w:val="Heading2"/>
      </w:pPr>
      <w:r>
        <w:t xml:space="preserve">6. Lessons for Future Expansion in United States Chicago</w:t>
      </w:r>
    </w:p>
    <w:p>
      <w:pPr>
        <w:pStyle w:val="FirstParagraph"/>
      </w:pPr>
      <w:r>
        <w:t xml:space="preserve">This case study offers critical insights for other stakeholders interested in the pharmacy sector within</w:t>
      </w:r>
      <w:r>
        <w:t xml:space="preserve"> </w:t>
      </w:r>
      <w:r>
        <w:rPr>
          <w:bCs/>
          <w:b/>
        </w:rPr>
        <w:t xml:space="preserve">United States Chicago</w:t>
      </w:r>
      <w:r>
        <w:t xml:space="preserve">:</w:t>
      </w:r>
    </w:p>
    <w:p>
      <w:pPr>
        <w:numPr>
          <w:ilvl w:val="0"/>
          <w:numId w:val="1002"/>
        </w:numPr>
        <w:pStyle w:val="Compact"/>
      </w:pPr>
      <w:r>
        <w:rPr>
          <w:bCs/>
          <w:b/>
        </w:rPr>
        <w:t xml:space="preserve">Niche Differentiation is Key:</w:t>
      </w:r>
      <w:r>
        <w:t xml:space="preserve"> </w:t>
      </w:r>
      <w:r>
        <w:t xml:space="preserve">Generalists will struggle against giants. A specialized or community-integrated approach is essential.</w:t>
      </w:r>
    </w:p>
    <w:p>
      <w:pPr>
        <w:numPr>
          <w:ilvl w:val="0"/>
          <w:numId w:val="1002"/>
        </w:numPr>
        <w:pStyle w:val="Compact"/>
      </w:pPr>
      <w:r>
        <w:rPr>
          <w:bCs/>
          <w:b/>
        </w:rPr>
        <w:t xml:space="preserve">Data Utilization:</w:t>
      </w:r>
      <w:r>
        <w:t xml:space="preserve"> </w:t>
      </w:r>
      <w:r>
        <w:t xml:space="preserve">Leveraging data for both inventory management and patient health tracking provides a dual competitive advantage.</w:t>
      </w:r>
    </w:p>
    <w:p>
      <w:pPr>
        <w:numPr>
          <w:ilvl w:val="0"/>
          <w:numId w:val="1002"/>
        </w:numPr>
        <w:pStyle w:val="Compact"/>
      </w:pPr>
      <w:r>
        <w:rPr>
          <w:bCs/>
          <w:b/>
        </w:rPr>
        <w:t xml:space="preserve">Community-Centric Models:</w:t>
      </w:r>
      <w:r>
        <w:t xml:space="preserve">In a city as fragmented as Chicago, hyper-local strategies outperform generic city-wide campaigns. The identity of the</w:t>
      </w:r>
      <w:r>
        <w:t xml:space="preserve"> </w:t>
      </w:r>
      <w:r>
        <w:rPr>
          <w:bCs/>
          <w:b/>
        </w:rPr>
        <w:t xml:space="preserve">Chemist</w:t>
      </w:r>
      <w:r>
        <w:t xml:space="preserve"> </w:t>
      </w:r>
      <w:r>
        <w:t xml:space="preserve">must be intertwined with the local community fabric.</w:t>
      </w:r>
    </w:p>
    <w:bookmarkEnd w:id="33"/>
    <w:bookmarkStart w:id="34" w:name="conclusion"/>
    <w:p>
      <w:pPr>
        <w:pStyle w:val="Heading2"/>
      </w:pPr>
      <w:r>
        <w:t xml:space="preserve">7. Conclusion</w:t>
      </w:r>
    </w:p>
    <w:p>
      <w:pPr>
        <w:pStyle w:val="FirstParagraph"/>
      </w:pPr>
      <w:r>
        <w:t xml:space="preserve">The evolution of the</w:t>
      </w:r>
      <w:r>
        <w:t xml:space="preserve"> </w:t>
      </w:r>
      <w:r>
        <w:rPr>
          <w:bCs/>
          <w:b/>
        </w:rPr>
        <w:t xml:space="preserve">Chemist</w:t>
      </w:r>
      <w:r>
        <w:t xml:space="preserve"> </w:t>
      </w:r>
      <w:r>
        <w:t xml:space="preserve">in</w:t>
      </w:r>
      <w:r>
        <w:t xml:space="preserve"> </w:t>
      </w:r>
      <w:r>
        <w:rPr>
          <w:bCs/>
          <w:b/>
        </w:rPr>
        <w:t xml:space="preserve">United States Chicago</w:t>
      </w:r>
      <w:r>
        <w:t xml:space="preserve">, as detailed in this case study, demonstrates that traditional pharmacy models must adapt to survive and thrive. By embracing clinical roles, leveraging technology, and deeply engaging with local communities, pharmacies can transcend their transactional nature to become integral pillars of public health infrastructure.</w:t>
      </w:r>
    </w:p>
    <w:p>
      <w:pPr>
        <w:pStyle w:val="BodyText"/>
      </w:pPr>
      <w:r>
        <w:t xml:space="preserve">The success factors identified here—compliance excellence, technological adoption, and community trust—provide a roadmap for other healthcare providers aiming to establish a strong presence in this dynamic urban landscape. The future of the</w:t>
      </w:r>
      <w:r>
        <w:t xml:space="preserve"> </w:t>
      </w:r>
      <w:r>
        <w:rPr>
          <w:bCs/>
          <w:b/>
        </w:rPr>
        <w:t xml:space="preserve">Chemist</w:t>
      </w:r>
      <w:r>
        <w:t xml:space="preserve"> </w:t>
      </w:r>
      <w:r>
        <w:t xml:space="preserve">in Chicago lies not just in dispensing drugs, but in delivering holistic care.</w:t>
      </w:r>
    </w:p>
    <w:bookmarkEnd w:id="34"/>
    <w:bookmarkStart w:id="35" w:name="glossary"/>
    <w:p>
      <w:pPr>
        <w:pStyle w:val="Heading2"/>
      </w:pPr>
      <w:r>
        <w:t xml:space="preserve">Glossary</w:t>
      </w:r>
    </w:p>
    <w:p>
      <w:pPr>
        <w:numPr>
          <w:ilvl w:val="0"/>
          <w:numId w:val="1003"/>
        </w:numPr>
        <w:pStyle w:val="Compact"/>
      </w:pPr>
      <w:r>
        <w:rPr>
          <w:iCs/>
          <w:i/>
          <w:bCs/>
          <w:b/>
        </w:rPr>
        <w:t xml:space="preserve">Chemist:</w:t>
      </w:r>
      <w:r>
        <w:t xml:space="preserve"> </w:t>
      </w:r>
      <w:r>
        <w:t xml:space="preserve">In this context, referring to a licensed pharmacist or pharmacy establishment providing healthcare services.</w:t>
      </w:r>
    </w:p>
    <w:p>
      <w:pPr>
        <w:numPr>
          <w:ilvl w:val="0"/>
          <w:numId w:val="1003"/>
        </w:numPr>
        <w:pStyle w:val="Compact"/>
      </w:pPr>
      <w:r>
        <w:rPr>
          <w:iCs/>
          <w:i/>
          <w:bCs/>
          <w:b/>
        </w:rPr>
        <w:t xml:space="preserve">United States Chicago:</w:t>
      </w:r>
      <w:r>
        <w:t xml:space="preserve"> </w:t>
      </w:r>
      <w:r>
        <w:t xml:space="preserve">The specific geographic and regulatory market focus of the case study, referring to Chicago, Illinois, USA.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Expansion and Operational Excellence: A Case Study of a Leading Chemist Network in United States Chicago</dc:title>
  <dc:creator/>
  <cp:keywords/>
  <dcterms:created xsi:type="dcterms:W3CDTF">2026-07-29T10:25:39Z</dcterms:created>
  <dcterms:modified xsi:type="dcterms:W3CDTF">2026-07-29T10:25:39Z</dcterms:modified>
</cp:coreProperties>
</file>

<file path=docProps/custom.xml><?xml version="1.0" encoding="utf-8"?>
<Properties xmlns="http://schemas.openxmlformats.org/officeDocument/2006/custom-properties" xmlns:vt="http://schemas.openxmlformats.org/officeDocument/2006/docPropsVTypes"/>
</file>