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Egypt,</w:t>
      </w:r>
      <w:r>
        <w:t xml:space="preserve"> </w:t>
      </w:r>
      <w:r>
        <w:t xml:space="preserve">Alexandria</w:t>
      </w:r>
    </w:p>
    <w:bookmarkStart w:id="27" w:name="X618c678fa3ed3ed37534b34f0eb2f4dadc52609"/>
    <w:p>
      <w:pPr>
        <w:pStyle w:val="Heading1"/>
      </w:pPr>
      <w:r>
        <w:t xml:space="preserve">Bridging Tradition and Innovation: A Case Study of the Curriculum Developer in Egypt, Alexandria</w:t>
      </w:r>
    </w:p>
    <w:p>
      <w:pPr>
        <w:pStyle w:val="FirstParagraph"/>
      </w:pPr>
      <w:r>
        <w:t xml:space="preserve">In the rapidly evolving landscape of global education, the role of a professional</w:t>
      </w:r>
      <w:r>
        <w:t xml:space="preserve"> </w:t>
      </w:r>
      <w:r>
        <w:rPr>
          <w:bCs/>
          <w:b/>
        </w:rPr>
        <w:t xml:space="preserve">Curriculum Developer</w:t>
      </w:r>
      <w:r>
        <w:t xml:space="preserve"> </w:t>
      </w:r>
      <w:r>
        <w:t xml:space="preserve">has transcended traditional content creation to become a strategic architect of future-ready societies. This case study examines the critical implementation and impact curriculum design initiatives within the specific socio-cultural and economic context of</w:t>
      </w:r>
      <w:r>
        <w:t xml:space="preserve"> </w:t>
      </w:r>
      <w:r>
        <w:rPr>
          <w:bCs/>
          <w:b/>
        </w:rPr>
        <w:t xml:space="preserve">Egypt, Alexandria</w:t>
      </w:r>
      <w:r>
        <w:t xml:space="preserve">. By analyzing local challenges, cultural nuances, and technological integration strategies, this document highlights how targeted educational reforms can empower a new generation of Alexandrian learners.</w:t>
      </w:r>
    </w:p>
    <w:bookmarkStart w:id="20" w:name="X9e2d0c0a9cc95db11ecbbcf8f3ea69e48a6f9d5"/>
    <w:p>
      <w:pPr>
        <w:pStyle w:val="Heading2"/>
      </w:pPr>
      <w:r>
        <w:t xml:space="preserve">1. Contextual Background: The Educational Landscape in Egypt, Alexandria</w:t>
      </w:r>
    </w:p>
    <w:p>
      <w:pPr>
        <w:pStyle w:val="FirstParagraph"/>
      </w:pPr>
      <w:r>
        <w:t xml:space="preserve">Alexandria, often referred to as the "Bride of the Mediterranean," holds a unique position in Egyptian history and education. Historically a hub of intellect and trade, the city is home to prestigious institutions such as Alexandria University and various private international schools. However, despite this rich heritage, the region faces significant hurdles common to much of</w:t>
      </w:r>
      <w:r>
        <w:t xml:space="preserve"> </w:t>
      </w:r>
      <w:r>
        <w:rPr>
          <w:bCs/>
          <w:b/>
        </w:rPr>
        <w:t xml:space="preserve">Egypt</w:t>
      </w:r>
      <w:r>
        <w:t xml:space="preserve">. These include large class sizes, an over-reliance on rote memorization in public sectors, and a growing disconnect between academic outputs and labor market demands.</w:t>
      </w:r>
    </w:p>
    <w:p>
      <w:pPr>
        <w:pStyle w:val="BodyText"/>
      </w:pPr>
      <w:r>
        <w:t xml:space="preserve">The Egyptian government’s Vision 2030 emphasizes education as a primary pillar for sustainable development. In response, there is an urgent need for modernized curricula that foster critical thinking, digital literacy, and soft skills. For the</w:t>
      </w:r>
      <w:r>
        <w:t xml:space="preserve"> </w:t>
      </w:r>
      <w:r>
        <w:rPr>
          <w:bCs/>
          <w:b/>
        </w:rPr>
        <w:t xml:space="preserve">Curriculum Developer</w:t>
      </w:r>
      <w:r>
        <w:t xml:space="preserve">, Alexandria presents both a challenge and an opportunity: to blend the city’s historical emphasis on academic excellence with modern pedagogical approaches that are relevant to the 21st-century workforce.</w:t>
      </w:r>
    </w:p>
    <w:bookmarkEnd w:id="20"/>
    <w:bookmarkStart w:id="21" w:name="the-role-of-the-curriculum-developer"/>
    <w:p>
      <w:pPr>
        <w:pStyle w:val="Heading2"/>
      </w:pPr>
      <w:r>
        <w:t xml:space="preserve">2. The Role of the Curriculum Developer</w:t>
      </w:r>
    </w:p>
    <w:p>
      <w:pPr>
        <w:pStyle w:val="FirstParagraph"/>
      </w:pPr>
      <w:r>
        <w:t xml:space="preserve">The core objective of this case study is to illustrate how a specialized</w:t>
      </w:r>
      <w:r>
        <w:t xml:space="preserve"> </w:t>
      </w:r>
      <w:r>
        <w:rPr>
          <w:bCs/>
          <w:b/>
        </w:rPr>
        <w:t xml:space="preserve">Curriculum Developer</w:t>
      </w:r>
      <w:r>
        <w:t xml:space="preserve"> </w:t>
      </w:r>
      <w:r>
        <w:t xml:space="preserve">acts as a bridge between policy and practice. In the context of</w:t>
      </w:r>
      <w:r>
        <w:t xml:space="preserve"> </w:t>
      </w:r>
      <w:r>
        <w:rPr>
          <w:bCs/>
          <w:b/>
        </w:rPr>
        <w:t xml:space="preserve">Egypt, Alexandria</w:t>
      </w:r>
      <w:r>
        <w:t xml:space="preserve">, this role requires more than just subject matter expertise; it demands deep cultural intelligence and an understanding of local socioeconomic constraints.</w:t>
      </w:r>
    </w:p>
    <w:p>
      <w:pPr>
        <w:pStyle w:val="BodyText"/>
      </w:pPr>
      <w:r>
        <w:t xml:space="preserve">The primary responsibilities identified in this study include:</w:t>
      </w:r>
    </w:p>
    <w:p>
      <w:pPr>
        <w:numPr>
          <w:ilvl w:val="0"/>
          <w:numId w:val="1001"/>
        </w:numPr>
        <w:pStyle w:val="Compact"/>
      </w:pPr>
      <w:r>
        <w:rPr>
          <w:bCs/>
          <w:b/>
        </w:rPr>
        <w:t xml:space="preserve">Cultural Alignment:</w:t>
      </w:r>
      <w:r>
        <w:t xml:space="preserve"> </w:t>
      </w:r>
      <w:r>
        <w:t xml:space="preserve">Ensuring that educational materials respect Islamic values and Egyptian heritage while promoting inclusivity and diversity. This is crucial for gaining acceptance from parents, religious leaders, and community elders.</w:t>
      </w:r>
    </w:p>
    <w:p>
      <w:pPr>
        <w:numPr>
          <w:ilvl w:val="0"/>
          <w:numId w:val="1001"/>
        </w:numPr>
        <w:pStyle w:val="Compact"/>
      </w:pPr>
      <w:r>
        <w:rPr>
          <w:bCs/>
          <w:b/>
        </w:rPr>
        <w:t xml:space="preserve">Labor Market Integration:</w:t>
      </w:r>
    </w:p>
    <w:p>
      <w:pPr>
        <w:numPr>
          <w:ilvl w:val="0"/>
          <w:numId w:val="1001"/>
        </w:numPr>
        <w:pStyle w:val="Compact"/>
      </w:pPr>
      <w:r>
        <w:rPr>
          <w:bCs/>
          <w:b/>
        </w:rPr>
        <w:t xml:space="preserve">Digital Transformation:</w:t>
      </w:r>
      <w:r>
        <w:t xml:space="preserve"> </w:t>
      </w:r>
      <w:r>
        <w:t xml:space="preserve">Integrating technology into learning pathways. Given the increasing connectivity in urban centers like Alexandria, the</w:t>
      </w:r>
      <w:r>
        <w:t xml:space="preserve"> </w:t>
      </w:r>
      <w:r>
        <w:rPr>
          <w:bCs/>
          <w:b/>
        </w:rPr>
        <w:t xml:space="preserve">Curriculum Developer</w:t>
      </w:r>
      <w:r>
        <w:t xml:space="preserve"> </w:t>
      </w:r>
      <w:r>
        <w:t xml:space="preserve">designs modules that utilize digital tools for remote and hybrid learning, ensuring equity for students from varying economic backgrounds.</w:t>
      </w:r>
    </w:p>
    <w:bookmarkEnd w:id="21"/>
    <w:bookmarkStart w:id="23" w:name="X9539a97bfb24b3958bcefb744e356a63f01640b"/>
    <w:p>
      <w:pPr>
        <w:pStyle w:val="Heading2"/>
      </w:pPr>
      <w:r>
        <w:t xml:space="preserve">3. Methodology: Designing a Relevant Framework</w:t>
      </w:r>
    </w:p>
    <w:p>
      <w:pPr>
        <w:pStyle w:val="FirstParagraph"/>
      </w:pPr>
      <w:r>
        <w:t xml:space="preserve">To address the specific needs of schools in</w:t>
      </w:r>
      <w:r>
        <w:t xml:space="preserve"> </w:t>
      </w:r>
      <w:r>
        <w:rPr>
          <w:bCs/>
          <w:b/>
        </w:rPr>
        <w:t xml:space="preserve">Egypt, Alexandria</w:t>
      </w:r>
      <w:r>
        <w:t xml:space="preserve">, a participatory design approach was adopted. The project involved focus groups with teachers, administrators, parents, and industry leaders across both public and private sectors.</w:t>
      </w:r>
    </w:p>
    <w:bookmarkStart w:id="22" w:name="key-insight"/>
    <w:p>
      <w:pPr>
        <w:pStyle w:val="Heading3"/>
      </w:pPr>
      <w:r>
        <w:t xml:space="preserve">Key Insight:</w:t>
      </w:r>
    </w:p>
    <w:p>
      <w:pPr>
        <w:pStyle w:val="FirstParagraph"/>
      </w:pPr>
      <w:r>
        <w:t xml:space="preserve">Data collected from stakeholders in Alexandria revealed that while students were proficient in theoretical knowledge, they lacked confidence in practical application and English language proficiency, which is critical for the city’s international business sector.</w:t>
      </w:r>
    </w:p>
    <w:bookmarkEnd w:id="22"/>
    <w:p>
      <w:pPr>
        <w:pStyle w:val="BodyText"/>
      </w:pPr>
      <w:r>
        <w:t xml:space="preserve">The resulting framework introduced by the</w:t>
      </w:r>
      <w:r>
        <w:t xml:space="preserve"> </w:t>
      </w:r>
      <w:r>
        <w:rPr>
          <w:bCs/>
          <w:b/>
        </w:rPr>
        <w:t xml:space="preserve">Curriculum Developer</w:t>
      </w:r>
      <w:r>
        <w:t xml:space="preserve"> </w:t>
      </w:r>
      <w:r>
        <w:t xml:space="preserve">focused on three pillars:</w:t>
      </w:r>
    </w:p>
    <w:p>
      <w:pPr>
        <w:numPr>
          <w:ilvl w:val="0"/>
          <w:numId w:val="1002"/>
        </w:numPr>
        <w:pStyle w:val="Compact"/>
      </w:pPr>
      <w:r>
        <w:rPr>
          <w:bCs/>
          <w:b/>
        </w:rPr>
        <w:t xml:space="preserve">Inquiry-Based Learning:</w:t>
      </w:r>
    </w:p>
    <w:p>
      <w:pPr>
        <w:numPr>
          <w:ilvl w:val="0"/>
          <w:numId w:val="1002"/>
        </w:numPr>
        <w:pStyle w:val="Compact"/>
      </w:pPr>
      <w:r>
        <w:rPr>
          <w:bCs/>
          <w:b/>
        </w:rPr>
        <w:t xml:space="preserve">Multidisciplinary Approaches:</w:t>
      </w:r>
    </w:p>
    <w:p>
      <w:pPr>
        <w:numPr>
          <w:ilvl w:val="0"/>
          <w:numId w:val="1002"/>
        </w:numPr>
        <w:pStyle w:val="Compact"/>
      </w:pPr>
      <w:r>
        <w:rPr>
          <w:bCs/>
          <w:b/>
        </w:rPr>
        <w:t xml:space="preserve">Soft Skills Emphasis:</w:t>
      </w:r>
    </w:p>
    <w:bookmarkEnd w:id="23"/>
    <w:bookmarkStart w:id="24" w:name="implementation-challenges-and-solutions"/>
    <w:p>
      <w:pPr>
        <w:pStyle w:val="Heading2"/>
      </w:pPr>
      <w:r>
        <w:t xml:space="preserve">4. Implementation Challenges and Solutions</w:t>
      </w:r>
    </w:p>
    <w:p>
      <w:pPr>
        <w:pStyle w:val="FirstParagraph"/>
      </w:pPr>
      <w:r>
        <w:t xml:space="preserve">The implementation phase in</w:t>
      </w:r>
      <w:r>
        <w:t xml:space="preserve"> </w:t>
      </w:r>
      <w:r>
        <w:rPr>
          <w:bCs/>
          <w:b/>
        </w:rPr>
        <w:t xml:space="preserve">Egypt, Alexandria</w:t>
      </w:r>
      <w:r>
        <w:t xml:space="preserve">, encountered several barriers. The first major challenge was teacher readiness. Many educators were accustomed to traditional lecture methods and resisted the shift toward student-centered learning.</w:t>
      </w:r>
    </w:p>
    <w:p>
      <w:pPr>
        <w:pStyle w:val="BodyText"/>
      </w:pPr>
      <w:r>
        <w:t xml:space="preserve">To mitigate this, the project included a robust professional development component. The</w:t>
      </w:r>
      <w:r>
        <w:t xml:space="preserve"> </w:t>
      </w:r>
      <w:r>
        <w:rPr>
          <w:bCs/>
          <w:b/>
        </w:rPr>
        <w:t xml:space="preserve">Curriculum Developer</w:t>
      </w:r>
      <w:r>
        <w:t xml:space="preserve"> </w:t>
      </w:r>
      <w:r>
        <w:t xml:space="preserve">organized workshops focusing on facilitation techniques rather than direct instruction. These sessions were held in accessible community centers throughout Alexandria to encourage participation from rural and urban districts alike.</w:t>
      </w:r>
    </w:p>
    <w:p>
      <w:pPr>
        <w:pStyle w:val="BodyText"/>
      </w:pPr>
      <w:r>
        <w:t xml:space="preserve">A second challenge was resource disparity. While private schools in areas like Sidi Gaber could afford tablets and high-speed internet, public schools in more densely populated areas faced infrastructure deficits. The solution involved a "low-tech/high-engagement" strategy for under-resourced schools, utilizing mobile applications that function on basic smartphones and offline content libraries.</w:t>
      </w:r>
    </w:p>
    <w:bookmarkEnd w:id="24"/>
    <w:bookmarkStart w:id="25" w:name="outcomes-and-impact-assessment"/>
    <w:p>
      <w:pPr>
        <w:pStyle w:val="Heading2"/>
      </w:pPr>
      <w:r>
        <w:t xml:space="preserve">5. Outcomes and Impact Assessment</w:t>
      </w:r>
    </w:p>
    <w:p>
      <w:pPr>
        <w:pStyle w:val="FirstParagraph"/>
      </w:pPr>
      <w:r>
        <w:t xml:space="preserve">Six months after the initial rollout, pilot assessments conducted in select schools across Alexandria showed promising results. Student attendance rates increased by 15%, attributed to the more engaging and relevant nature of the curriculum. Furthermore, teacher feedback indicated a renewed sense of purpose, as they observed students taking greater ownership of their learning.</w:t>
      </w:r>
    </w:p>
    <w:p>
      <w:pPr>
        <w:pStyle w:val="BodyText"/>
      </w:pPr>
      <w:r>
        <w:t xml:space="preserve">Quantitative data also highlighted improvements in standardized test scores related to critical thinking components. More importantly, qualitative feedback from employers in Alexandria noted that interns produced by these pilot programs demonstrated better problem-solving abilities and adaptability compared to previous cohorts.</w:t>
      </w:r>
    </w:p>
    <w:bookmarkEnd w:id="25"/>
    <w:bookmarkStart w:id="26" w:name="conclusion-and-future-recommendations"/>
    <w:p>
      <w:pPr>
        <w:pStyle w:val="Heading2"/>
      </w:pPr>
      <w:r>
        <w:t xml:space="preserve">6. Conclusion and Future Recommendations</w:t>
      </w:r>
    </w:p>
    <w:p>
      <w:pPr>
        <w:pStyle w:val="FirstParagraph"/>
      </w:pPr>
      <w:r>
        <w:t xml:space="preserve">This case study underscores the transformative potential of a well-designed educational framework tailored to local contexts. For the</w:t>
      </w:r>
      <w:r>
        <w:t xml:space="preserve"> </w:t>
      </w:r>
      <w:r>
        <w:rPr>
          <w:bCs/>
          <w:b/>
        </w:rPr>
        <w:t xml:space="preserve">Curriculum Developer</w:t>
      </w:r>
      <w:r>
        <w:t xml:space="preserve">, success in</w:t>
      </w:r>
      <w:r>
        <w:t xml:space="preserve"> </w:t>
      </w:r>
      <w:r>
        <w:rPr>
          <w:bCs/>
          <w:b/>
        </w:rPr>
        <w:t xml:space="preserve">Egypt, Alexandria</w:t>
      </w:r>
      <w:r>
        <w:t xml:space="preserve">, is not measured solely by test scores but by the ability to produce graduates who are culturally grounded yet globally competitive.</w:t>
      </w:r>
    </w:p>
    <w:p>
      <w:pPr>
        <w:pStyle w:val="BodyText"/>
      </w:pPr>
      <w:r>
        <w:t xml:space="preserve">The experience highlights that curriculum development is not a static document creation process but a dynamic ecosystem requiring continuous feedback loops. Future recommendations include expanding these models to other Egyptian governorates, leveraging AI-driven personalized learning paths, and fostering stronger university-industry partnerships in Alexandria to ensure lifelong learning opportunities for adults as well.</w:t>
      </w:r>
    </w:p>
    <w:p>
      <w:pPr>
        <w:pStyle w:val="BodyText"/>
      </w:pPr>
      <w:r>
        <w:t xml:space="preserve">Ultimately, the integration of modern curriculum strategies into the educational fabric of</w:t>
      </w:r>
      <w:r>
        <w:t xml:space="preserve"> </w:t>
      </w:r>
      <w:r>
        <w:rPr>
          <w:bCs/>
          <w:b/>
        </w:rPr>
        <w:t xml:space="preserve">Egypt, Alexandria</w:t>
      </w:r>
      <w:r>
        <w:t xml:space="preserve">, serves as a replicable model for other regions seeking to balance heritage with innovation. The dedicated efforts of the</w:t>
      </w:r>
      <w:r>
        <w:t xml:space="preserve"> </w:t>
      </w:r>
      <w:r>
        <w:rPr>
          <w:bCs/>
          <w:b/>
        </w:rPr>
        <w:t xml:space="preserve">Curriculum Developer</w:t>
      </w:r>
      <w:r>
        <w:t xml:space="preserve"> </w:t>
      </w:r>
      <w:r>
        <w:t xml:space="preserve">remain pivotal in navigating this complex terrain, ensuring that education remains a powerful engine for social and economic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Egypt, Alexandria</dc:title>
  <dc:creator/>
  <dc:language>en</dc:language>
  <cp:keywords/>
  <dcterms:created xsi:type="dcterms:W3CDTF">2026-07-29T10:03:45Z</dcterms:created>
  <dcterms:modified xsi:type="dcterms:W3CDTF">2026-07-29T10:03:45Z</dcterms:modified>
</cp:coreProperties>
</file>

<file path=docProps/custom.xml><?xml version="1.0" encoding="utf-8"?>
<Properties xmlns="http://schemas.openxmlformats.org/officeDocument/2006/custom-properties" xmlns:vt="http://schemas.openxmlformats.org/officeDocument/2006/docPropsVTypes"/>
</file>