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Frankfurt</w:t>
      </w:r>
    </w:p>
    <w:bookmarkStart w:id="30" w:name="X96b6000589f44ff598245d1eb3e2ddec8ab06b6"/>
    <w:p>
      <w:pPr>
        <w:pStyle w:val="Heading1"/>
      </w:pPr>
      <w:r>
        <w:t xml:space="preserve">Case Study: Strategic Curriculum Development for the Digital Economy in Germany, Frankfurt</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evolving role of the</w:t>
      </w:r>
    </w:p>
    <w:p>
      <w:pPr>
        <w:pStyle w:val="BodyText"/>
      </w:pPr>
      <w:r>
        <w:t xml:space="preserve">Curriculum Developer within the high-stakes educational landscape of</w:t>
      </w:r>
    </w:p>
    <w:p>
      <w:pPr>
        <w:pStyle w:val="BodyText"/>
      </w:pPr>
      <w:r>
        <w:t xml:space="preserve">.1. Executive Summary</w:t>
      </w:r>
    </w:p>
    <w:p>
      <w:pPr>
        <w:pStyle w:val="BodyText"/>
      </w:pPr>
      <w:r>
        <w:t xml:space="preserve">In the heart of Europe,</w:t>
      </w:r>
      <w:r>
        <w:t xml:space="preserve"> </w:t>
      </w:r>
      <w:r>
        <w:rPr>
          <w:bCs/>
          <w:b/>
        </w:rPr>
        <w:t xml:space="preserve">Germany, Frankfurt</w:t>
      </w:r>
      <w:r>
        <w:t xml:space="preserve">, serves as both a financial capital and a burgeoning hub for fintech innovation and international education. This case study explores how a specialized</w:t>
      </w:r>
      <w:r>
        <w:t xml:space="preserve"> </w:t>
      </w:r>
      <w:r>
        <w:rPr>
          <w:bCs/>
          <w:b/>
        </w:rPr>
        <w:t xml:space="preserve">Curriculum Developer</w:t>
      </w:r>
      <w:r>
        <w:t xml:space="preserve"> </w:t>
      </w:r>
      <w:r>
        <w:t xml:space="preserve">navigates the complex requirements of designing educational programs that bridge the gap between traditional academic rigor and the rapid demands of the digital economy. By analyzing specific challenges, methodologies, and outcomes in this region, we gain insight into how effective curriculum design can drive economic growth and workforce readiness.</w:t>
      </w:r>
    </w:p>
    <w:bookmarkStart w:id="20" w:name="context-the-frankfurt-ecosystem"/>
    <w:p>
      <w:pPr>
        <w:pStyle w:val="Heading2"/>
      </w:pPr>
      <w:r>
        <w:t xml:space="preserve">2. Context: The Frankfurt Ecosystem</w:t>
      </w:r>
    </w:p>
    <w:p>
      <w:pPr>
        <w:pStyle w:val="FirstParagraph"/>
      </w:pPr>
    </w:p>
    <w:p>
      <w:pPr>
        <w:pStyle w:val="BodyText"/>
      </w:pPr>
      <w:r>
        <w:t xml:space="preserve">Franfurt is uniquely positioned as a crossroads of culture and commerce. It hosts the European Central Bank, numerous major banks, and a growing startup ecosystem. Consequently, the educational institutions in</w:t>
      </w:r>
      <w:r>
        <w:t xml:space="preserve"> </w:t>
      </w:r>
      <w:r>
        <w:rPr>
          <w:bCs/>
          <w:b/>
        </w:rPr>
        <w:t xml:space="preserve">Germany, Frankfurt</w:t>
      </w:r>
      <w:r>
        <w:t xml:space="preserve">, face pressure to produce graduates who are not only theoretically sound but also practically skilled in data analytics, cybersecurity, and financial technology.</w:t>
      </w:r>
    </w:p>
    <w:p>
      <w:pPr>
        <w:pStyle w:val="BodyText"/>
      </w:pPr>
      <w:r>
        <w:t xml:space="preserve">The local demographic is highly diverse. With a significant international population of expatriates and students from around the globe, any educational program launched here must account for cultural inclusivity and language accessibility. This environment places a heavy burden on the</w:t>
      </w:r>
      <w:r>
        <w:t xml:space="preserve"> </w:t>
      </w:r>
      <w:r>
        <w:rPr>
          <w:bCs/>
          <w:b/>
        </w:rPr>
        <w:t xml:space="preserve">Curriculum Developer</w:t>
      </w:r>
      <w:r>
        <w:t xml:space="preserve">, who must create materials that are globally relevant yet locally compliant with German educational standards.</w:t>
      </w:r>
    </w:p>
    <w:bookmarkEnd w:id="20"/>
    <w:bookmarkStart w:id="21" w:name="X15a984222866b1507874ab71ea109bdefd9623b"/>
    <w:p>
      <w:pPr>
        <w:pStyle w:val="Heading2"/>
      </w:pPr>
      <w:r>
        <w:t xml:space="preserve">3. The Challenge: Bridging Theory and Practice</w:t>
      </w:r>
    </w:p>
    <w:p>
      <w:pPr>
        <w:pStyle w:val="FirstParagraph"/>
      </w:pPr>
      <w:r>
        <w:t xml:space="preserve">The primary challenge identified for this case study was the "Skills Gap." Local universities and vocational training centers (Berufsschulen) were producing graduates who struggled to adapt to the agile workflows of modern tech companies in</w:t>
      </w:r>
      <w:r>
        <w:t xml:space="preserve"> </w:t>
      </w:r>
      <w:r>
        <w:rPr>
          <w:bCs/>
          <w:b/>
        </w:rPr>
        <w:t xml:space="preserve">Germany, Frankfurt</w:t>
      </w:r>
      <w:r>
        <w:t xml:space="preserve">. The existing curricula were often static, relying on outdated case studies and theoretical models that did not reflect real-time market dynamics.</w:t>
      </w:r>
    </w:p>
    <w:p>
      <w:pPr>
        <w:pStyle w:val="BodyText"/>
      </w:pPr>
      <w:r>
        <w:t xml:space="preserve">The client, a consortium of local universities and private training institutes in</w:t>
      </w:r>
      <w:r>
        <w:t xml:space="preserve"> </w:t>
      </w:r>
      <w:r>
        <w:rPr>
          <w:bCs/>
          <w:b/>
        </w:rPr>
        <w:t xml:space="preserve">Germany, Frankfurt</w:t>
      </w:r>
      <w:r>
        <w:t xml:space="preserve">, approached the development team with three critical constraints:</w:t>
      </w:r>
    </w:p>
    <w:p>
      <w:pPr>
        <w:numPr>
          <w:ilvl w:val="0"/>
          <w:numId w:val="1001"/>
        </w:numPr>
        <w:pStyle w:val="Compact"/>
      </w:pPr>
      <w:r>
        <w:rPr>
          <w:bCs/>
          <w:b/>
        </w:rPr>
        <w:t xml:space="preserve">Rigidity:</w:t>
      </w:r>
      <w:r>
        <w:t xml:space="preserve"> </w:t>
      </w:r>
      <w:r>
        <w:t xml:space="preserve">Strict adherence to the KMK (Standing Conference of the Ministers of Education and Cultural Affairs) standards.</w:t>
      </w:r>
    </w:p>
    <w:p>
      <w:pPr>
        <w:numPr>
          <w:ilvl w:val="0"/>
          <w:numId w:val="1001"/>
        </w:numPr>
        <w:pStyle w:val="Compact"/>
      </w:pPr>
      <w:r>
        <w:rPr>
          <w:bCs/>
          <w:b/>
        </w:rPr>
        <w:t xml:space="preserve">Pace:</w:t>
      </w:r>
      <w:r>
        <w:t xml:space="preserve">The need for rapid updates to course content due to fast-moving technological changes in fintech.</w:t>
      </w:r>
    </w:p>
    <w:p>
      <w:pPr>
        <w:numPr>
          <w:ilvl w:val="0"/>
          <w:numId w:val="1001"/>
        </w:numPr>
        <w:pStyle w:val="Compact"/>
      </w:pPr>
      <w:r>
        <w:rPr>
          <w:bCs/>
          <w:b/>
        </w:rPr>
        <w:t xml:space="preserve">Diversity:</w:t>
      </w:r>
    </w:p>
    <w:p>
      <w:pPr>
        <w:numPr>
          <w:ilvl w:val="0"/>
          <w:numId w:val="1000"/>
        </w:numPr>
        <w:pStyle w:val="Compact"/>
      </w:pPr>
      <w:r>
        <w:t xml:space="preserve">The requirement for multilingual support and culturally responsive pedagogy.</w:t>
      </w:r>
    </w:p>
    <w:bookmarkEnd w:id="21"/>
    <w:bookmarkStart w:id="26" w:name="X56b8963a6343daef82661b653b7c8ddc6dcf238"/>
    <w:p>
      <w:pPr>
        <w:pStyle w:val="Heading2"/>
      </w:pPr>
      <w:r>
        <w:t xml:space="preserve">4. Methodology: The Role of the Curriculum Developer</w:t>
      </w:r>
    </w:p>
    <w:p>
      <w:pPr>
        <w:pStyle w:val="FirstParagraph"/>
      </w:pPr>
      <w:r>
        <w:t xml:space="preserve">To address these challenges, a senior</w:t>
      </w:r>
      <w:r>
        <w:t xml:space="preserve"> </w:t>
      </w:r>
      <w:r>
        <w:rPr>
          <w:bCs/>
          <w:b/>
        </w:rPr>
        <w:t xml:space="preserve">Curriculum Developer</w:t>
      </w:r>
      <w:r>
        <w:t xml:space="preserve"> </w:t>
      </w:r>
      <w:r>
        <w:t xml:space="preserve">employed a backward design approach (Understanding by Design) combined with Agile instructional design principles. The process was broken down into four distinct phases.</w:t>
      </w:r>
    </w:p>
    <w:bookmarkStart w:id="22" w:name="Xc06b488e2ff20892de87e9c3a2834d04131ae3d"/>
    <w:p>
      <w:pPr>
        <w:pStyle w:val="Heading3"/>
      </w:pPr>
      <w:r>
        <w:t xml:space="preserve">Phase 1: Stakeholder Analysis and Needs Assessment</w:t>
      </w:r>
    </w:p>
    <w:p>
      <w:pPr>
        <w:pStyle w:val="FirstParagraph"/>
      </w:pPr>
      <w:r>
        <w:t xml:space="preserve">The</w:t>
      </w:r>
      <w:r>
        <w:t xml:space="preserve"> </w:t>
      </w:r>
      <w:r>
        <w:rPr>
          <w:bCs/>
          <w:b/>
        </w:rPr>
        <w:t xml:space="preserve">Curriculum Developer</w:t>
      </w:r>
      <w:r>
        <w:t xml:space="preserve">. conducted extensive interviews with industry leaders in</w:t>
      </w:r>
      <w:r>
        <w:t xml:space="preserve"> </w:t>
      </w:r>
      <w:r>
        <w:rPr>
          <w:bCs/>
          <w:b/>
        </w:rPr>
        <w:t xml:space="preserve">Germany, Frankfurt</w:t>
      </w:r>
      <w:r>
        <w:t xml:space="preserve">, including HR directors from major banks and CTOs from fintech startups. This phase identified key competencies such as Python programming, blockchain understanding, and ethical data governance.</w:t>
      </w:r>
    </w:p>
    <w:bookmarkEnd w:id="22"/>
    <w:bookmarkStart w:id="23" w:name="section"/>
    <w:p>
      <w:pPr>
        <w:pStyle w:val="Heading3"/>
      </w:pPr>
    </w:p>
    <w:p>
      <w:pPr>
        <w:pStyle w:val="FirstParagraph"/>
      </w:pPr>
      <w:r>
        <w:t xml:space="preserve">Phase 2: Structural Design and Alignment</w:t>
      </w:r>
    </w:p>
    <w:p>
      <w:pPr>
        <w:pStyle w:val="BodyText"/>
      </w:pPr>
      <w:r>
        <w:t xml:space="preserve">The</w:t>
      </w:r>
      <w:r>
        <w:t xml:space="preserve"> </w:t>
      </w:r>
      <w:r>
        <w:rPr>
          <w:bCs/>
          <w:b/>
        </w:rPr>
        <w:t xml:space="preserve">Curriculum Developer</w:t>
      </w:r>
      <w:r>
        <w:t xml:space="preserve">. mapped these competencies against the required credit points (ECTS) for academic recognition. A crucial step was ensuring that the learning outcomes aligned with the German Qualifications Framework (DQR). This ensured that any new course offered in</w:t>
      </w:r>
      <w:r>
        <w:t xml:space="preserve"> </w:t>
      </w:r>
      <w:r>
        <w:rPr>
          <w:bCs/>
          <w:b/>
        </w:rPr>
        <w:t xml:space="preserve">Germany, Frankfurt</w:t>
      </w:r>
      <w:r>
        <w:t xml:space="preserve">, would be recognized nationally and across Europe.</w:t>
      </w:r>
    </w:p>
    <w:bookmarkEnd w:id="23"/>
    <w:bookmarkStart w:id="24" w:name="X6f296e836094cfb4dba7b080457a3747fdf1465"/>
    <w:p>
      <w:pPr>
        <w:pStyle w:val="Heading3"/>
      </w:pPr>
      <w:r>
        <w:t xml:space="preserve">Phase 3: Content Creation and Localization</w:t>
      </w:r>
    </w:p>
    <w:p>
      <w:pPr>
        <w:pStyle w:val="FirstParagraph"/>
      </w:pPr>
      <w:r>
        <w:t xml:space="preserve">This was the most labor-intensive phase. The</w:t>
      </w:r>
      <w:r>
        <w:t xml:space="preserve"> </w:t>
      </w:r>
      <w:r>
        <w:rPr>
          <w:bCs/>
          <w:b/>
        </w:rPr>
        <w:t xml:space="preserve">Curriculum Developer</w:t>
      </w:r>
      <w:r>
        <w:t xml:space="preserve">. collaborated with subject matter experts to create modular content. To address the diversity of</w:t>
      </w:r>
      <w:r>
        <w:t xml:space="preserve"> </w:t>
      </w:r>
      <w:r>
        <w:rPr>
          <w:bCs/>
          <w:b/>
        </w:rPr>
        <w:t xml:space="preserve">Germany, Frankfurt</w:t>
      </w:r>
      <w:r>
        <w:t xml:space="preserve">, materials were designed with a "local-first" approach, utilizing case studies relevant to European and German banking laws (such as BaFin regulations). Furthermore, all core texts were produced in both English and German to serve the local population and international students alike.</w:t>
      </w:r>
    </w:p>
    <w:bookmarkEnd w:id="24"/>
    <w:bookmarkStart w:id="25" w:name="phase-4-pilot-testing-and-iteration"/>
    <w:p>
      <w:pPr>
        <w:pStyle w:val="Heading3"/>
      </w:pPr>
      <w:r>
        <w:t xml:space="preserve">Phase 4: Pilot Testing and Iteration</w:t>
      </w:r>
    </w:p>
    <w:p>
      <w:pPr>
        <w:pStyle w:val="FirstParagraph"/>
      </w:pPr>
      <w:r>
        <w:t xml:space="preserve">A pilot cohort was selected from a partner university in</w:t>
      </w:r>
      <w:r>
        <w:t xml:space="preserve"> </w:t>
      </w:r>
      <w:r>
        <w:rPr>
          <w:bCs/>
          <w:b/>
        </w:rPr>
        <w:t xml:space="preserve">Germany, Frankfurt</w:t>
      </w:r>
      <w:r>
        <w:t xml:space="preserve">. The</w:t>
      </w:r>
      <w:r>
        <w:t xml:space="preserve"> </w:t>
      </w:r>
      <w:r>
        <w:rPr>
          <w:bCs/>
          <w:b/>
        </w:rPr>
        <w:t xml:space="preserve">Curriculum Developer</w:t>
      </w:r>
      <w:r>
        <w:t xml:space="preserve">. monitored engagement metrics, assessment scores, and student feedback. Rapid iterations were made based on this data. For instance, if students struggled with a specific module on financial algorithms, additional interactive simulations were developed and inserted into the learning management system.</w:t>
      </w:r>
    </w:p>
    <w:bookmarkEnd w:id="25"/>
    <w:bookmarkEnd w:id="26"/>
    <w:bookmarkStart w:id="27" w:name="implementation-in-germany-frankfurt"/>
    <w:p>
      <w:pPr>
        <w:pStyle w:val="Heading2"/>
      </w:pPr>
      <w:r>
        <w:t xml:space="preserve">5. Implementation in Germany Frankfurt</w:t>
      </w:r>
    </w:p>
    <w:p>
      <w:pPr>
        <w:pStyle w:val="FirstParagraph"/>
      </w:pPr>
      <w:r>
        <w:t xml:space="preserve">The launch of the program coincided with the annual "FinTech Week" in</w:t>
      </w:r>
      <w:r>
        <w:t xml:space="preserve"> </w:t>
      </w:r>
      <w:r>
        <w:rPr>
          <w:bCs/>
          <w:b/>
        </w:rPr>
        <w:t xml:space="preserve">Germany, Frankfurt</w:t>
      </w:r>
      <w:r>
        <w:t xml:space="preserve">, providing immediate networking opportunities for students. The integration of industry mentors from local firms ensured that the curriculum remained grounded in reality. The</w:t>
      </w:r>
      <w:r>
        <w:t xml:space="preserve"> </w:t>
      </w:r>
      <w:r>
        <w:rPr>
          <w:bCs/>
          <w:b/>
        </w:rPr>
        <w:t xml:space="preserve">Curriculum Developer</w:t>
      </w:r>
      <w:r>
        <w:t xml:space="preserve">. established a quarterly review cycle, allowing for continuous improvement as technology evolved.</w:t>
      </w:r>
    </w:p>
    <w:p>
      <w:pPr>
        <w:pStyle w:val="BodyText"/>
      </w:pPr>
      <w:r>
        <w:t xml:space="preserve">One specific adaptation was the inclusion of "Soft Skills" modules focused on cross-cultural communication, recognizing that professionals in</w:t>
      </w:r>
      <w:r>
        <w:t xml:space="preserve"> </w:t>
      </w:r>
      <w:r>
        <w:rPr>
          <w:bCs/>
          <w:b/>
        </w:rPr>
        <w:t xml:space="preserve">Germany, Frankfurt</w:t>
      </w:r>
      <w:r>
        <w:t xml:space="preserve">, often work in international teams. The</w:t>
      </w:r>
      <w:r>
        <w:t xml:space="preserve"> </w:t>
      </w:r>
      <w:r>
        <w:rPr>
          <w:iCs/>
          <w:i/>
          <w:bCs/>
          <w:b/>
        </w:rPr>
        <w:t xml:space="preserve">Curriculum Developer</w:t>
      </w:r>
      <w:r>
        <w:t xml:space="preserve">. emphasized collaboration tools and conflict resolution strategies tailored to a multicultural workplace.</w:t>
      </w:r>
    </w:p>
    <w:bookmarkEnd w:id="27"/>
    <w:bookmarkStart w:id="28" w:name="results-and-impact"/>
    <w:p>
      <w:pPr>
        <w:pStyle w:val="Heading2"/>
      </w:pPr>
      <w:r>
        <w:t xml:space="preserve">6. Results and Impact</w:t>
      </w:r>
    </w:p>
    <w:p>
      <w:pPr>
        <w:pStyle w:val="FirstParagraph"/>
      </w:pPr>
      <w:r>
        <w:t xml:space="preserve">The results of this initiative were significant:</w:t>
      </w:r>
    </w:p>
    <w:p>
      <w:pPr>
        <w:numPr>
          <w:ilvl w:val="0"/>
          <w:numId w:val="1002"/>
        </w:numPr>
        <w:pStyle w:val="Compact"/>
      </w:pPr>
      <w:r>
        <w:rPr>
          <w:bCs/>
          <w:b/>
        </w:rPr>
        <w:t xml:space="preserve">Employment Rate:</w:t>
      </w:r>
    </w:p>
    <w:p>
      <w:pPr>
        <w:pStyle w:val="FirstParagraph"/>
      </w:pPr>
      <w:r>
        <w:t xml:space="preserve">An 85% employment rate among graduates within three months, significantly higher than the regional average.</w:t>
      </w:r>
    </w:p>
    <w:p>
      <w:pPr>
        <w:pStyle w:val="BodyText"/>
      </w:pPr>
      <w:r>
        <w:t xml:space="preserve">.</w:t>
      </w:r>
    </w:p>
    <w:p>
      <w:pPr>
        <w:pStyle w:val="BodyText"/>
      </w:pPr>
      <w:r>
        <w:t xml:space="preserve">Satisfaction Scores: Student satisfaction scores reached 4.7/5, particularly praising the relevance of case studies to real-world scenarios in</w:t>
      </w:r>
      <w:r>
        <w:t xml:space="preserve"> </w:t>
      </w:r>
      <w:r>
        <w:rPr>
          <w:bCs/>
          <w:b/>
        </w:rPr>
        <w:t xml:space="preserve">Germany, Frankfurt</w:t>
      </w:r>
      <w:r>
        <w:t xml:space="preserve">.</w:t>
      </w:r>
    </w:p>
    <w:p>
      <w:pPr>
        <w:pStyle w:val="BodyText"/>
      </w:pPr>
      <w:r>
        <w:t xml:space="preserve">Industry Partnership:: Stronger ties were formed between educational institutions and industry partners, leading to sponsored capstone projects.</w:t>
      </w:r>
    </w:p>
    <w:p>
      <w:pPr>
        <w:pStyle w:val="BodyText"/>
      </w:pPr>
      <w:r>
        <w:t xml:space="preserve">.</w:t>
      </w:r>
    </w:p>
    <w:p>
      <w:pPr>
        <w:pStyle w:val="BodyText"/>
      </w:pPr>
      <w:r>
        <w:t xml:space="preserve">The success of this project demonstrates the critical value of a skilled</w:t>
      </w:r>
    </w:p>
    <w:p>
      <w:pPr>
        <w:pStyle w:val="BodyText"/>
      </w:pPr>
      <w:r>
        <w:rPr>
          <w:iCs/>
          <w:i/>
        </w:rPr>
        <w:t xml:space="preserve">Curriculum Developer</w:t>
      </w:r>
      <w:r>
        <w:t xml:space="preserve">. In high-demand regions like</w:t>
      </w:r>
      <w:r>
        <w:t xml:space="preserve"> </w:t>
      </w:r>
      <w:r>
        <w:rPr>
          <w:bCs/>
          <w:b/>
        </w:rPr>
        <w:t xml:space="preserve">Germany, Frankfurt</w:t>
      </w:r>
      <w:r>
        <w:t xml:space="preserve">, the ability to translate complex market needs into structured, engaging educational experiences is paramount.7. Lessons Learned and Best Practices</w:t>
      </w:r>
    </w:p>
    <w:p>
      <w:pPr>
        <w:pStyle w:val="BodyText"/>
      </w:pPr>
      <w:r>
        <w:t xml:space="preserve">This case study highlights several best practices for future projects:</w:t>
      </w:r>
    </w:p>
    <w:p>
      <w:pPr>
        <w:numPr>
          <w:ilvl w:val="0"/>
          <w:numId w:val="1003"/>
        </w:numPr>
        <w:pStyle w:val="Compact"/>
      </w:pPr>
      <w:r>
        <w:t xml:space="preserve">.Agility in Design: The curriculum must be modular to allow for quick updates.</w:t>
      </w:r>
    </w:p>
    <w:p>
      <w:pPr>
        <w:numPr>
          <w:ilvl w:val="0"/>
          <w:numId w:val="1000"/>
        </w:numPr>
        <w:pStyle w:val="Compact"/>
      </w:pPr>
      <w:r>
        <w:t xml:space="preserve">.</w:t>
      </w:r>
    </w:p>
    <w:p>
      <w:pPr>
        <w:numPr>
          <w:ilvl w:val="0"/>
          <w:numId w:val="1003"/>
        </w:numPr>
        <w:pStyle w:val="Compact"/>
      </w:pPr>
      <w:r>
        <w:rPr>
          <w:iCs/>
          <w:i/>
          <w:bCs/>
          <w:b/>
        </w:rPr>
        <w:t xml:space="preserve">Local Context Matters:</w:t>
      </w:r>
      <w:r>
        <w:t xml:space="preserve">: Even global programs must respect local regulations and cultural nuances. In</w:t>
      </w:r>
      <w:r>
        <w:t xml:space="preserve"> </w:t>
      </w:r>
      <w:r>
        <w:rPr>
          <w:bCs/>
          <w:b/>
        </w:rPr>
        <w:t xml:space="preserve">Germany, Frankfurt</w:t>
      </w:r>
      <w:r>
        <w:t xml:space="preserve">, understanding the regulatory environment was key to student confidence and employability.</w:t>
      </w:r>
    </w:p>
    <w:p>
      <w:pPr>
        <w:numPr>
          <w:ilvl w:val="0"/>
          <w:numId w:val="1000"/>
        </w:numPr>
        <w:pStyle w:val="Compact"/>
      </w:pPr>
      <w:r>
        <w:t xml:space="preserve">.</w:t>
      </w:r>
    </w:p>
    <w:p>
      <w:pPr>
        <w:numPr>
          <w:ilvl w:val="0"/>
          <w:numId w:val="1003"/>
        </w:numPr>
        <w:pStyle w:val="Compact"/>
      </w:pPr>
      <w:r>
        <w:t xml:space="preserve">Cross-Functional Collaboration: The</w:t>
      </w:r>
      <w:r>
        <w:t xml:space="preserve"> </w:t>
      </w:r>
      <w:r>
        <w:rPr>
          <w:bCs/>
          <w:b/>
        </w:rPr>
        <w:t xml:space="preserve">Curriculum Developer</w:t>
      </w:r>
      <w:r>
        <w:t xml:space="preserve">. cannot work in a silo. Success required constant feedback loops between educators, industry experts, and students.</w:t>
      </w:r>
    </w:p>
    <w:bookmarkEnd w:id="28"/>
    <w:bookmarkStart w:id="29" w:name="conclusion"/>
    <w:p>
      <w:pPr>
        <w:pStyle w:val="Heading2"/>
      </w:pPr>
      <w:r>
        <w:t xml:space="preserve">8. Conclusion</w:t>
      </w:r>
    </w:p>
    <w:p>
      <w:pPr>
        <w:pStyle w:val="FirstParagraph"/>
      </w:pPr>
      <w:r>
        <w:t xml:space="preserve">The role of the</w:t>
      </w:r>
      <w:r>
        <w:t xml:space="preserve"> </w:t>
      </w:r>
      <w:r>
        <w:rPr>
          <w:bCs/>
          <w:b/>
          <w:iCs/>
          <w:i/>
        </w:rPr>
        <w:t xml:space="preserve">Curriculum Developer</w:t>
      </w:r>
      <w:r>
        <w:rPr>
          <w:iCs/>
          <w:i/>
        </w:rPr>
        <w:t xml:space="preserve">.</w:t>
      </w:r>
      <w:r>
        <w:t xml:space="preserve"> </w:t>
      </w:r>
      <w:r>
        <w:t xml:space="preserve">extends far beyond writing lesson plans. In dynamic economic hubs like</w:t>
      </w:r>
      <w:r>
        <w:t xml:space="preserve"> </w:t>
      </w:r>
    </w:p>
    <w:p>
      <w:pPr>
        <w:pStyle w:val="BodyText"/>
      </w:pPr>
      <w:r>
        <w:t xml:space="preserve">, they act as strategic architects of human capital. By carefully balancing academic rigor with practical application and cultural sensitivity, a well-executed curriculum can transform educational institutions into engines of economic innovation.</w:t>
      </w:r>
    </w:p>
    <w:p>
      <w:pPr>
        <w:pStyle w:val="BodyText"/>
      </w:pPr>
      <w:r>
        <w:t xml:space="preserve">As the digital landscape continues to shift, the demand for sophisticated</w:t>
      </w:r>
      <w:r>
        <w:t xml:space="preserve"> </w:t>
      </w:r>
      <w:r>
        <w:rPr>
          <w:bCs/>
          <w:b/>
        </w:rPr>
        <w:t xml:space="preserve">Curriculum Developer</w:t>
      </w:r>
      <w:r>
        <w:t xml:space="preserve">. strategies will only grow. For stakeholders in</w:t>
      </w:r>
    </w:p>
    <w:p>
      <w:pPr>
        <w:pStyle w:val="BodyText"/>
      </w:pPr>
      <w:r>
        <w:t xml:space="preserve">, investing in high-quality curriculum development is not just an educational expense; it is a strategic imperative for future competitiveness.</w:t>
      </w:r>
    </w:p>
    <w:p>
      <w:r>
        <w:pict>
          <v:rect style="width:0;height:1.5pt" o:hralign="center" o:hrstd="t" o:hr="t"/>
        </w:pict>
      </w:r>
    </w:p>
    <w:p>
      <w:pPr>
        <w:pStyle w:val="FirstParagraph"/>
      </w:pPr>
      <w:r>
        <w:rPr>
          <w:iCs/>
          <w:i/>
        </w:rPr>
        <w:t xml:space="preserve">This case study serves as a model for understanding the complexities of educational design in international metropolitan centers. It underscores the necessity of adapting teaching materials to specific regional needs while maintaining global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Germany Frankfurt</dc:title>
  <dc:creator/>
  <dc:language>en</dc:language>
  <cp:keywords/>
  <dcterms:created xsi:type="dcterms:W3CDTF">2026-07-29T02:18:21Z</dcterms:created>
  <dcterms:modified xsi:type="dcterms:W3CDTF">2026-07-29T02:18:21Z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