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Jerusalem,</w:t>
      </w:r>
      <w:r>
        <w:t xml:space="preserve"> </w:t>
      </w:r>
      <w:r>
        <w:t xml:space="preserve">Israel</w:t>
      </w:r>
    </w:p>
    <w:bookmarkStart w:id="30" w:name="Xd80c12eb51d0f6387231062bd5dc2472a174586"/>
    <w:p>
      <w:pPr>
        <w:pStyle w:val="Heading1"/>
      </w:pPr>
      <w:r>
        <w:t xml:space="preserve">Case Study: Curriculum Developer Challenges and Strategies in Jerusalem, Israel</w:t>
      </w:r>
    </w:p>
    <w:bookmarkStart w:id="20" w:name="executive-summary"/>
    <w:p>
      <w:pPr>
        <w:pStyle w:val="Heading2"/>
      </w:pPr>
      <w:r>
        <w:t xml:space="preserve">Executive Summary</w:t>
      </w:r>
    </w:p>
    <w:p>
      <w:pPr>
        <w:pStyle w:val="FirstParagraph"/>
      </w:pPr>
      <w:r>
        <w:t xml:space="preserve">In the heart of the Middle East,</w:t>
      </w:r>
      <w:r>
        <w:t xml:space="preserve"> </w:t>
      </w:r>
      <w:r>
        <w:rPr>
          <w:bCs/>
          <w:b/>
        </w:rPr>
        <w:t xml:space="preserve">Israel Jerusalem</w:t>
      </w:r>
      <w:r>
        <w:br/>
      </w:r>
      <w:r>
        <w:t xml:space="preserve">The city serves as a unique laboratory for educational innovation. The role of a</w:t>
      </w:r>
    </w:p>
    <w:p>
      <w:pPr>
        <w:pStyle w:val="BodyText"/>
      </w:pPr>
      <w:r>
        <w:t xml:space="preserve">Curriculum Developer</w:t>
      </w:r>
      <w:r>
        <w:t xml:space="preserve"> </w:t>
      </w:r>
      <w:r>
        <w:t xml:space="preserve">in this region is not merely about academic structuring; it is an act of cultural stewardship, political navigation, and social engineering. This case study examines the complex ecosystem of curriculum development in</w:t>
      </w:r>
    </w:p>
    <w:p>
      <w:pPr>
        <w:pStyle w:val="BodyText"/>
      </w:pPr>
      <w:r>
        <w:t xml:space="preserve">Israel Jerusalem</w:t>
      </w:r>
      <w:r>
        <w:t xml:space="preserve">, analyzing how a lead</w:t>
      </w:r>
    </w:p>
    <w:p>
      <w:pPr>
        <w:pStyle w:val="BodyText"/>
      </w:pPr>
      <w:r>
        <w:t xml:space="preserve">Curriculum Developer</w:t>
      </w:r>
      <w:r>
        <w:t xml:space="preserve"> </w:t>
      </w:r>
      <w:r>
        <w:t xml:space="preserve">navigated the dual mandates of global educational standards and deep-seated local traditions.</w:t>
      </w:r>
    </w:p>
    <w:bookmarkEnd w:id="20"/>
    <w:bookmarkStart w:id="21" w:name="the-context-a-city-of-contrasts"/>
    <w:p>
      <w:pPr>
        <w:pStyle w:val="Heading2"/>
      </w:pPr>
      <w:r>
        <w:t xml:space="preserve">The Context: A City of Contrasts</w:t>
      </w:r>
    </w:p>
    <w:p>
      <w:pPr>
        <w:pStyle w:val="FirstParagraph"/>
      </w:pPr>
      <w:r>
        <w:t xml:space="preserve">Israel Jerusalem</w:t>
      </w:r>
      <w:r>
        <w:t xml:space="preserve">Curriculum Developer</w:t>
      </w:r>
      <w:r>
        <w:t xml:space="preserve"> </w:t>
      </w:r>
      <w:r>
        <w:t xml:space="preserve">operating in this environment must address several critical demographic realities:</w:t>
      </w:r>
    </w:p>
    <w:p>
      <w:pPr>
        <w:numPr>
          <w:ilvl w:val="0"/>
          <w:numId w:val="1001"/>
        </w:numPr>
        <w:pStyle w:val="Compact"/>
      </w:pPr>
      <w:r>
        <w:rPr>
          <w:bCs/>
          <w:b/>
        </w:rPr>
        <w:t xml:space="preserve">Diverse Student Bodies:</w:t>
      </w:r>
      <w:r>
        <w:t xml:space="preserve"> </w:t>
      </w:r>
      <w:r>
        <w:t xml:space="preserve">Classes often contain Jewish students from various religious backgrounds (secular, traditional, Haredi), Arab-Muslim students, Arab-Christian students, and recent immigrants. A standard "one-size-fits-all" curriculum fails to resonate with such heterogeneity.</w:t>
      </w:r>
    </w:p>
    <w:p>
      <w:pPr>
        <w:numPr>
          <w:ilvl w:val="0"/>
          <w:numId w:val="1001"/>
        </w:numPr>
        <w:pStyle w:val="Compact"/>
      </w:pPr>
      <w:r>
        <w:rPr>
          <w:bCs/>
          <w:b/>
        </w:rPr>
        <w:t xml:space="preserve">Sensitivity of Content:</w:t>
      </w:r>
      <w:r>
        <w:t xml:space="preserve"> </w:t>
      </w:r>
      <w:r>
        <w:t xml:space="preserve">Topics related to history, geography, and civic education are inherently sensitive in</w:t>
      </w:r>
    </w:p>
    <w:p>
      <w:pPr>
        <w:numPr>
          <w:ilvl w:val="0"/>
          <w:numId w:val="1000"/>
        </w:numPr>
        <w:pStyle w:val="Compact"/>
      </w:pPr>
      <w:r>
        <w:t xml:space="preserve">Israel Jerusalem</w:t>
      </w:r>
      <w:r>
        <w:t xml:space="preserve">. The way borders, historical narratives, and national identity are framed can lead to significant controversy or reconciliation.</w:t>
      </w:r>
    </w:p>
    <w:p>
      <w:pPr>
        <w:numPr>
          <w:ilvl w:val="0"/>
          <w:numId w:val="1001"/>
        </w:numPr>
        <w:pStyle w:val="Compact"/>
      </w:pPr>
      <w:r>
        <w:rPr>
          <w:bCs/>
          <w:b/>
        </w:rPr>
        <w:t xml:space="preserve">Tech-Forward Expectations:</w:t>
      </w:r>
      <w:r>
        <w:t xml:space="preserve"> </w:t>
      </w:r>
      <w:r>
        <w:t xml:space="preserve">Despite its ancient roots, Israel is a global tech hub. Parents and students in</w:t>
      </w:r>
    </w:p>
    <w:p>
      <w:pPr>
        <w:numPr>
          <w:ilvl w:val="0"/>
          <w:numId w:val="1000"/>
        </w:numPr>
        <w:pStyle w:val="Compact"/>
      </w:pPr>
      <w:r>
        <w:t xml:space="preserve">Israel Jerusalem</w:t>
      </w:r>
      <w:r>
        <w:t xml:space="preserve"> </w:t>
      </w:r>
      <w:r>
        <w:t xml:space="preserve">expect high-tech integration, critical thinking skills, and preparation for the global workforce.</w:t>
      </w:r>
    </w:p>
    <w:bookmarkEnd w:id="21"/>
    <w:bookmarkStart w:id="25" w:name="X52f438d768182d0e40d4f95b31cd6b6426b0169"/>
    <w:p>
      <w:pPr>
        <w:pStyle w:val="Heading2"/>
      </w:pPr>
      <w:r>
        <w:t xml:space="preserve">The Challenge: Bridging Gaps Through Curriculum Design</w:t>
      </w:r>
    </w:p>
    <w:p>
      <w:pPr>
        <w:pStyle w:val="FirstParagraph"/>
      </w:pPr>
      <w:r>
        <w:t xml:space="preserve">The primary challenge faced by the</w:t>
      </w:r>
    </w:p>
    <w:p>
      <w:pPr>
        <w:pStyle w:val="BodyText"/>
      </w:pPr>
      <w:r>
        <w:t xml:space="preserve">Curriculum Developer</w:t>
      </w:r>
      <w:r>
        <w:br/>
      </w:r>
      <w:r>
        <w:t xml:space="preserve">This project aimed to create a cross-community history and civics module for middle schools in</w:t>
      </w:r>
    </w:p>
    <w:p>
      <w:pPr>
        <w:pStyle w:val="BodyText"/>
      </w:pPr>
      <w:r>
        <w:t xml:space="preserve">Israel Jerusalem</w:t>
      </w:r>
      <w:r>
        <w:t xml:space="preserve">. The goal was to reduce social fragmentation by fostering mutual understanding and critical dialogue. However, the stakes were high. Previous attempts at such curricula had been rejected by various community groups due to perceived bias.</w:t>
      </w:r>
    </w:p>
    <w:bookmarkStart w:id="22" w:name="X241a6b1290d73a095eb46fd2383a8b08d5b60c7"/>
    <w:p>
      <w:pPr>
        <w:pStyle w:val="Heading3"/>
      </w:pPr>
      <w:r>
        <w:t xml:space="preserve">1. Stakeholder Engagement as a Core Strategy</w:t>
      </w:r>
    </w:p>
    <w:p>
      <w:pPr>
        <w:pStyle w:val="FirstParagraph"/>
      </w:pPr>
      <w:r>
        <w:t xml:space="preserve">A</w:t>
      </w:r>
    </w:p>
    <w:p>
      <w:pPr>
        <w:pStyle w:val="BodyText"/>
      </w:pPr>
      <w:r>
        <w:t xml:space="preserve">Curriculum Developer</w:t>
      </w:r>
      <w:r>
        <w:br/>
      </w:r>
      <w:r>
        <w:t xml:space="preserve">The development team did not begin with textbooks. Instead, they conducted "listening tours" across different sectors of</w:t>
      </w:r>
    </w:p>
    <w:p>
      <w:pPr>
        <w:pStyle w:val="BodyText"/>
      </w:pPr>
      <w:r>
        <w:t xml:space="preserve">Israel Jerusalem</w:t>
      </w:r>
      <w:r>
        <w:t xml:space="preserve">. They engaged with ultra-Orthodox rabbis to understand theological constraints, secular teachers to identify pedagogical gaps, and Arab community leaders to ensure accurate representation of Palestinian history. This inclusive approach ensured that the final curriculum was not imposed from above but co-created through consensus-building.</w:t>
      </w:r>
    </w:p>
    <w:bookmarkEnd w:id="22"/>
    <w:bookmarkStart w:id="23" w:name="multi-narrative-pedagogy"/>
    <w:p>
      <w:pPr>
        <w:pStyle w:val="Heading3"/>
      </w:pPr>
      <w:r>
        <w:t xml:space="preserve">2. Multi-Narrative Pedagogy</w:t>
      </w:r>
    </w:p>
    <w:p>
      <w:pPr>
        <w:pStyle w:val="FirstParagraph"/>
      </w:pPr>
      <w:r>
        <w:t xml:space="preserve">The core innovation of the</w:t>
      </w:r>
    </w:p>
    <w:p>
      <w:pPr>
        <w:pStyle w:val="BodyText"/>
      </w:pPr>
      <w:r>
        <w:t xml:space="preserve">Curriculum Developer</w:t>
      </w:r>
      <w:r>
        <w:br/>
      </w:r>
      <w:r>
        <w:t xml:space="preserve">Rather than presenting a single, monolithic version of history, the curriculum presented multiple perspectives on key events. For example, when discussing specific dates in modern Israeli and Palestinian history, students were taught to analyze primary sources from both sides. This method respects the identity of all students while encouraging critical thinking—a skill highly valued in</w:t>
      </w:r>
    </w:p>
    <w:p>
      <w:pPr>
        <w:pStyle w:val="BodyText"/>
      </w:pPr>
      <w:r>
        <w:t xml:space="preserve">Israel Jerusalem</w:t>
      </w:r>
      <w:r>
        <w:br/>
      </w:r>
      <w:r>
        <w:t xml:space="preserve">For instance, a unit on "Water Resources" might include case studies from the West Bank and Israel proper, teaching environmental science alongside diplomatic context.</w:t>
      </w:r>
    </w:p>
    <w:bookmarkEnd w:id="23"/>
    <w:bookmarkStart w:id="24" w:name="digital-integration-for-accessibility"/>
    <w:p>
      <w:pPr>
        <w:pStyle w:val="Heading3"/>
      </w:pPr>
      <w:r>
        <w:t xml:space="preserve">3. Digital Integration for Accessibility</w:t>
      </w:r>
    </w:p>
    <w:p>
      <w:pPr>
        <w:pStyle w:val="FirstParagraph"/>
      </w:pPr>
      <w:r>
        <w:t xml:space="preserve">Leveraging Israel’s strong tech sector, the</w:t>
      </w:r>
    </w:p>
    <w:p>
      <w:pPr>
        <w:pStyle w:val="BodyText"/>
      </w:pPr>
      <w:r>
        <w:t xml:space="preserve">Curriculum Developer</w:t>
      </w:r>
      <w:r>
        <w:br/>
      </w:r>
      <w:r>
        <w:t xml:space="preserve">In</w:t>
      </w:r>
    </w:p>
    <w:p>
      <w:pPr>
        <w:pStyle w:val="BodyText"/>
      </w:pPr>
      <w:r>
        <w:t xml:space="preserve">Israel Jerusalem</w:t>
      </w:r>
      <w:r>
        <w:t xml:space="preserve">, where resources can be unevenly distributed between affluent neighborhoods and marginalized communities, digital tools helped democratize access to high-quality educational materials. Virtual reality (VR) experiences allowed students to virtually visit historical sites relevant to both Jewish and Arab heritage, fostering empathy through shared virtual spaces.</w:t>
      </w:r>
    </w:p>
    <w:bookmarkEnd w:id="24"/>
    <w:bookmarkEnd w:id="25"/>
    <w:bookmarkStart w:id="26" w:name="implementation-in-israel-jerusalem"/>
    <w:p>
      <w:pPr>
        <w:pStyle w:val="Heading2"/>
      </w:pPr>
      <w:r>
        <w:t xml:space="preserve">Implementation in Israel Jerusalem</w:t>
      </w:r>
    </w:p>
    <w:p>
      <w:pPr>
        <w:pStyle w:val="FirstParagraph"/>
      </w:pPr>
      <w:r>
        <w:t xml:space="preserve">The rollout phase required careful negotiation with the Ministry of Education and local municipal authorities in</w:t>
      </w:r>
    </w:p>
    <w:p>
      <w:pPr>
        <w:pStyle w:val="BodyText"/>
      </w:pPr>
      <w:r>
        <w:t xml:space="preserve">Israel Jerusalem</w:t>
      </w:r>
      <w:r>
        <w:t xml:space="preserve">. The</w:t>
      </w:r>
    </w:p>
    <w:p>
      <w:pPr>
        <w:pStyle w:val="BodyText"/>
      </w:pPr>
      <w:r>
        <w:t xml:space="preserve">Curriculum Developer</w:t>
      </w:r>
      <w:r>
        <w:br/>
      </w:r>
      <w:r>
        <w:t xml:space="preserve">Pilot programs were launched in three distinct schools: one secular-Jewish public school, one Arab public school, and one integrated "new type" school. Feedback loops were established weekly. In the initial weeks, tensions arose over language usage in digital platforms. The</w:t>
      </w:r>
    </w:p>
    <w:p>
      <w:pPr>
        <w:pStyle w:val="BodyText"/>
      </w:pPr>
      <w:r>
        <w:t xml:space="preserve">Curriculum Developer</w:t>
      </w:r>
      <w:r>
        <w:br/>
      </w:r>
      <w:r>
        <w:t xml:space="preserve">Furthermore, the curriculum included a component on "Digital Citizenship," teaching students how to identify misinformation online—a crucial skill given the polarized social media landscape in</w:t>
      </w:r>
    </w:p>
    <w:p>
      <w:pPr>
        <w:pStyle w:val="BodyText"/>
      </w:pPr>
      <w:r>
        <w:t xml:space="preserve">Israel Jerusalem</w:t>
      </w:r>
      <w:r>
        <w:t xml:space="preserve">.</w:t>
      </w:r>
      <w:r>
        <w:br/>
      </w:r>
      <w:r>
        <w:t xml:space="preserve">Teachers were not just given manuals; they underwent intensive training facilitated by the</w:t>
      </w:r>
    </w:p>
    <w:p>
      <w:pPr>
        <w:pStyle w:val="BodyText"/>
      </w:pPr>
      <w:r>
        <w:t xml:space="preserve">Curriculum Developer</w:t>
      </w:r>
      <w:r>
        <w:br/>
      </w:r>
      <w:r>
        <w:t xml:space="preserve">This support system was vital. In many cases, teachers themselves held strong biases. The training focused on facilitating difficult conversations rather than dictating answers, empowering educators in</w:t>
      </w:r>
    </w:p>
    <w:p>
      <w:pPr>
        <w:pStyle w:val="BodyText"/>
      </w:pPr>
      <w:r>
        <w:t xml:space="preserve">Israel Jerusalem</w:t>
      </w:r>
      <w:r>
        <w:t xml:space="preserve"> </w:t>
      </w:r>
      <w:r>
        <w:t xml:space="preserve">to act as neutral facilitators of dialogue.</w:t>
      </w:r>
    </w:p>
    <w:bookmarkEnd w:id="26"/>
    <w:bookmarkStart w:id="27" w:name="outcomes-and-impact"/>
    <w:p>
      <w:pPr>
        <w:pStyle w:val="Heading2"/>
      </w:pPr>
      <w:r>
        <w:t xml:space="preserve">Outcomes and Impact</w:t>
      </w:r>
    </w:p>
    <w:p>
      <w:pPr>
        <w:pStyle w:val="FirstParagraph"/>
      </w:pPr>
      <w:r>
        <w:t xml:space="preserve">After two academic years, the impact of the curriculum developed by the specialist</w:t>
      </w:r>
    </w:p>
    <w:p>
      <w:pPr>
        <w:pStyle w:val="BodyText"/>
      </w:pPr>
      <w:r>
        <w:t xml:space="preserve">Curriculum Developer</w:t>
      </w:r>
      <w:r>
        <w:br/>
      </w:r>
      <w:r>
        <w:t xml:space="preserve">The data collected from schools across</w:t>
      </w:r>
    </w:p>
    <w:p>
      <w:pPr>
        <w:pStyle w:val="BodyText"/>
      </w:pPr>
      <w:r>
        <w:t xml:space="preserve">Israel Jerusalem</w:t>
      </w:r>
      <w:r>
        <w:t xml:space="preserve"> </w:t>
      </w:r>
      <w:r>
        <w:t xml:space="preserve">showed:</w:t>
      </w:r>
    </w:p>
    <w:p>
      <w:pPr>
        <w:numPr>
          <w:ilvl w:val="0"/>
          <w:numId w:val="1002"/>
        </w:numPr>
        <w:pStyle w:val="Compact"/>
      </w:pPr>
      <w:r>
        <w:rPr>
          <w:bCs/>
          <w:b/>
        </w:rPr>
        <w:t xml:space="preserve">Increased Empathy Scores:</w:t>
      </w:r>
      <w:r>
        <w:t xml:space="preserve"> </w:t>
      </w:r>
      <w:r>
        <w:t xml:space="preserve">Student surveys indicated a 25% increase in willingness to listen to opposing viewpoints.</w:t>
      </w:r>
    </w:p>
    <w:p>
      <w:pPr>
        <w:numPr>
          <w:ilvl w:val="0"/>
          <w:numId w:val="1002"/>
        </w:numPr>
        <w:pStyle w:val="Compact"/>
      </w:pPr>
      <w:r>
        <w:rPr>
          <w:bCs/>
          <w:b/>
        </w:rPr>
        <w:t xml:space="preserve">Critical Thinking Improvement:</w:t>
      </w:r>
      <w:r>
        <w:t xml:space="preserve"> </w:t>
      </w:r>
      <w:r>
        <w:t xml:space="preserve">Standardized tests revealed significant improvements in source analysis skills compared to control groups using traditional textbooks.</w:t>
      </w:r>
    </w:p>
    <w:p>
      <w:pPr>
        <w:numPr>
          <w:ilvl w:val="0"/>
          <w:numId w:val="1002"/>
        </w:numPr>
        <w:pStyle w:val="Compact"/>
      </w:pPr>
      <w:r>
        <w:rPr>
          <w:bCs/>
          <w:b/>
        </w:rPr>
        <w:t xml:space="preserve">Social Cohesion:</w:t>
      </w:r>
      <w:r>
        <w:t xml:space="preserve"> </w:t>
      </w:r>
      <w:r>
        <w:t xml:space="preserve">In integrated schools, cross-group friendships increased. Even in segregated schools, students showed greater respect for the historical narratives of other communities.</w:t>
      </w:r>
    </w:p>
    <w:bookmarkEnd w:id="27"/>
    <w:bookmarkStart w:id="28" w:name="critical-success-factors"/>
    <w:p>
      <w:pPr>
        <w:pStyle w:val="Heading2"/>
      </w:pPr>
      <w:r>
        <w:t xml:space="preserve">Critical Success Factors</w:t>
      </w:r>
    </w:p>
    <w:p>
      <w:pPr>
        <w:pStyle w:val="FirstParagraph"/>
      </w:pPr>
      <w:r>
        <w:t xml:space="preserve">The success of this initiative can be attributed to several factors specific to the role of a</w:t>
      </w:r>
    </w:p>
    <w:p>
      <w:pPr>
        <w:pStyle w:val="BodyText"/>
      </w:pPr>
      <w:r>
        <w:t xml:space="preserve">Curriculum Developer</w:t>
      </w:r>
      <w:r>
        <w:br/>
      </w:r>
      <w:r>
        <w:t xml:space="preserve">First,</w:t>
      </w:r>
      <w:r>
        <w:t xml:space="preserve"> </w:t>
      </w:r>
      <w:r>
        <w:rPr>
          <w:bCs/>
          <w:b/>
        </w:rPr>
        <w:t xml:space="preserve">Cultural Competence:</w:t>
      </w:r>
      <w:r>
        <w:t xml:space="preserve"> </w:t>
      </w:r>
      <w:r>
        <w:t xml:space="preserve">The developer understood that in</w:t>
      </w:r>
    </w:p>
    <w:p>
      <w:pPr>
        <w:pStyle w:val="BodyText"/>
      </w:pPr>
      <w:r>
        <w:t xml:space="preserve">Israel Jerusalem</w:t>
      </w:r>
      <w:r>
        <w:t xml:space="preserve">, education is never neutral. Acknowledging this bias and working transparently was key.</w:t>
      </w:r>
    </w:p>
    <w:p>
      <w:pPr>
        <w:pStyle w:val="BodyText"/>
      </w:pPr>
      <w:r>
        <w:t xml:space="preserve">Second,</w:t>
      </w:r>
      <w:r>
        <w:t xml:space="preserve"> </w:t>
      </w:r>
      <w:r>
        <w:rPr>
          <w:bCs/>
          <w:b/>
        </w:rPr>
        <w:t xml:space="preserve">Flexibility:</w:t>
      </w:r>
      <w:r>
        <w:t xml:space="preserve"> </w:t>
      </w:r>
      <w:r>
        <w:t xml:space="preserve">The curriculum was modular. Schools could adapt certain case studies to local contexts within their own neighborhoods in</w:t>
      </w:r>
    </w:p>
    <w:p>
      <w:pPr>
        <w:pStyle w:val="BodyText"/>
      </w:pPr>
      <w:r>
        <w:t xml:space="preserve">Israel Jerusalem</w:t>
      </w:r>
      <w:r>
        <w:t xml:space="preserve">. This ownership increased teacher buy-in.</w:t>
      </w:r>
    </w:p>
    <w:p>
      <w:pPr>
        <w:pStyle w:val="BodyText"/>
      </w:pPr>
      <w:r>
        <w:t xml:space="preserve">Third,</w:t>
      </w:r>
      <w:r>
        <w:t xml:space="preserve"> </w:t>
      </w:r>
      <w:r>
        <w:rPr>
          <w:bCs/>
          <w:b/>
        </w:rPr>
        <w:t xml:space="preserve">Sustainability:</w:t>
      </w:r>
      <w:r>
        <w:t xml:space="preserve">The</w:t>
      </w:r>
      <w:r>
        <w:br/>
      </w:r>
      <w:r>
        <w:t xml:space="preserve">The developer established a digital platform where teachers in</w:t>
      </w:r>
    </w:p>
    <w:p>
      <w:pPr>
        <w:pStyle w:val="BodyText"/>
      </w:pPr>
      <w:r>
        <w:t xml:space="preserve">Israel Jerusalem</w:t>
      </w:r>
      <w:r>
        <w:t xml:space="preserve"> </w:t>
      </w:r>
      <w:r>
        <w:t xml:space="preserve">could share lesson plans and updates, ensuring the curriculum evolved with society rather than becoming static.</w:t>
      </w:r>
    </w:p>
    <w:bookmarkEnd w:id="28"/>
    <w:bookmarkStart w:id="29" w:name="conclusion"/>
    <w:p>
      <w:pPr>
        <w:pStyle w:val="Heading2"/>
      </w:pPr>
      <w:r>
        <w:t xml:space="preserve">Conclusion</w:t>
      </w:r>
    </w:p>
    <w:p>
      <w:pPr>
        <w:pStyle w:val="FirstParagraph"/>
      </w:pPr>
      <w:r>
        <w:t xml:space="preserve">This case study illustrates that being a</w:t>
      </w:r>
    </w:p>
    <w:p>
      <w:pPr>
        <w:pStyle w:val="BodyText"/>
      </w:pPr>
      <w:r>
        <w:t xml:space="preserve">Curriculum Developer</w:t>
      </w:r>
      <w:r>
        <w:br/>
      </w:r>
      <w:r>
        <w:t xml:space="preserve">In</w:t>
      </w:r>
    </w:p>
    <w:p>
      <w:pPr>
        <w:pStyle w:val="BodyText"/>
      </w:pPr>
      <w:r>
        <w:t xml:space="preserve">Israel Jerusalem</w:t>
      </w:r>
      <w:r>
        <w:t xml:space="preserve">, the curriculum is not just a document; it is a living bridge between disparate communities. The developer must balance academic rigor with emotional intelligence, and global standards with local sensitivities.</w:t>
      </w:r>
    </w:p>
    <w:p>
      <w:pPr>
        <w:pStyle w:val="BodyText"/>
      </w:pPr>
      <w:r>
        <w:t xml:space="preserve">For other regions facing similar divides, the lessons from</w:t>
      </w:r>
    </w:p>
    <w:p>
      <w:pPr>
        <w:pStyle w:val="BodyText"/>
      </w:pPr>
      <w:r>
        <w:t xml:space="preserve">Israel Jerusalem</w:t>
      </w:r>
      <w:r>
        <w:br/>
      </w:r>
      <w:r>
        <w:t xml:space="preserve">The role of the</w:t>
      </w:r>
    </w:p>
    <w:p>
      <w:pPr>
        <w:pStyle w:val="BodyText"/>
      </w:pPr>
      <w:r>
        <w:t xml:space="preserve">Curriculum Developer</w:t>
      </w:r>
      <w:r>
        <w:br/>
      </w:r>
      <w:r>
        <w:t xml:space="preserve">In the complex landscape of</w:t>
      </w:r>
    </w:p>
    <w:p>
      <w:pPr>
        <w:pStyle w:val="BodyText"/>
      </w:pPr>
      <w:r>
        <w:t xml:space="preserve">Israel Jerusalem</w:t>
      </w:r>
      <w:r>
        <w:t xml:space="preserve">, this approach offers a model for how education can serve not just as a transmission of knowledge, but as a catalyst for social healing and future cohesion.</w:t>
      </w:r>
    </w:p>
    <w:p>
      <w:pPr>
        <w:pStyle w:val="BodyText"/>
      </w:pPr>
      <w:r>
        <w:t xml:space="preserve">This document serves as an analysis for educational policymakers, school administrators, and other</w:t>
      </w:r>
    </w:p>
    <w:p>
      <w:pPr>
        <w:pStyle w:val="BodyText"/>
      </w:pPr>
      <w:r>
        <w:t xml:space="preserve">Curriculum Developer</w:t>
      </w:r>
      <w:r>
        <w:t xml:space="preserve"> </w:t>
      </w:r>
      <w:r>
        <w:t xml:space="preserve">professionals looking to implement effective educational strategies in diverse environments like</w:t>
      </w:r>
    </w:p>
    <w:p>
      <w:pPr>
        <w:pStyle w:val="BodyText"/>
      </w:pPr>
      <w:r>
        <w:t xml:space="preserve">Israel Jerusalem</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Jerusalem, Israel</dc:title>
  <dc:creator/>
  <cp:keywords/>
  <dcterms:created xsi:type="dcterms:W3CDTF">2026-07-29T09:42:05Z</dcterms:created>
  <dcterms:modified xsi:type="dcterms:W3CDTF">2026-07-29T09:42:05Z</dcterms:modified>
</cp:coreProperties>
</file>

<file path=docProps/custom.xml><?xml version="1.0" encoding="utf-8"?>
<Properties xmlns="http://schemas.openxmlformats.org/officeDocument/2006/custom-properties" xmlns:vt="http://schemas.openxmlformats.org/officeDocument/2006/docPropsVTypes"/>
</file>