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Japan,</w:t>
      </w:r>
      <w:r>
        <w:t xml:space="preserve"> </w:t>
      </w:r>
      <w:r>
        <w:t xml:space="preserve">Osaka</w:t>
      </w:r>
    </w:p>
    <w:bookmarkStart w:id="32" w:name="X0dddc60662fbdaf11afec615f462b49ed691186"/>
    <w:p>
      <w:pPr>
        <w:pStyle w:val="Heading1"/>
      </w:pPr>
      <w:r>
        <w:t xml:space="preserve">Case Study:</w:t>
      </w:r>
      <w:r>
        <w:br/>
      </w:r>
      <w:r>
        <w:t xml:space="preserve">Strategic Curriculum Development for Global Education in Japan, Osaka</w:t>
      </w:r>
    </w:p>
    <w:p>
      <w:pPr>
        <w:pStyle w:val="FirstParagraph"/>
      </w:pPr>
      <w:r>
        <w:rPr>
          <w:bCs/>
          <w:b/>
        </w:rPr>
        <w:t xml:space="preserve">Date:</w:t>
      </w:r>
      <w:r>
        <w:t xml:space="preserve"> </w:t>
      </w:r>
      <w:r>
        <w:t xml:space="preserve">October 2023</w:t>
      </w:r>
      <w:r>
        <w:br/>
      </w:r>
      <w:r>
        <w:rPr>
          <w:bCs/>
          <w:b/>
        </w:rPr>
        <w:t xml:space="preserve">Status:</w:t>
      </w:r>
    </w:p>
    <w:bookmarkStart w:id="20" w:name="executive-summary"/>
    <w:p>
      <w:pPr>
        <w:pStyle w:val="Heading3"/>
      </w:pPr>
      <w:r>
        <w:t xml:space="preserve">Executive Summary</w:t>
      </w:r>
    </w:p>
    <w:p>
      <w:pPr>
        <w:pStyle w:val="FirstParagraph"/>
      </w:pPr>
      <w:r>
        <w:t xml:space="preserve">This Case Study examines the intricate process of designing an educational framework tailored specifically for the dynamic cultural and economic landscape of Osaka, Japan. By analyzing the role of a specialized Curriculum Developer, this document highlights how local contextualization within Japan's rigorous educational standards can produce innovative learning outcomes. The focus remains on bridging traditional Japanese pedagogical values with modern, global competencies.</w:t>
      </w:r>
    </w:p>
    <w:bookmarkEnd w:id="20"/>
    <w:bookmarkStart w:id="21" w:name="Xe22f5b09246892744a72ee637078e43286acce2"/>
    <w:p>
      <w:pPr>
        <w:pStyle w:val="Heading2"/>
      </w:pPr>
      <w:r>
        <w:t xml:space="preserve">1. Introduction: The Osaka Educational Landscape</w:t>
      </w:r>
    </w:p>
    <w:p>
      <w:pPr>
        <w:pStyle w:val="FirstParagraph"/>
      </w:pPr>
      <w:r>
        <w:t xml:space="preserve">Osaka, often referred to as the "Kitchen of Japan," is not only a hub for commerce and innovation but also a city with a distinct cultural identity known for its pragmatism, humor, and entrepreneurial spirit. Unlike Tokyo, which often sets national trends from the top down, Osaka has historically been driven by grassroots community engagement and practical application. For educational institutions in Japan's second-largest metropolitan area, there is a growing demand to move beyond rote memorization toward critical thinking and global communication skills.</w:t>
      </w:r>
    </w:p>
    <w:p>
      <w:pPr>
        <w:pStyle w:val="BodyText"/>
      </w:pPr>
      <w:r>
        <w:t xml:space="preserve">However, implementing these changes within the Japanese Ministry of Education (MEXT) framework requires a delicate balance. The national curriculum emphasizes discipline, moral education (</w:t>
      </w:r>
      <w:r>
        <w:rPr>
          <w:iCs/>
          <w:i/>
        </w:rPr>
        <w:t xml:space="preserve">doutoku</w:t>
      </w:r>
      <w:r>
        <w:t xml:space="preserve">), and academic rigor. Therefore, any new educational initiative must respect these foundational elements while introducing modern methodologies. This is where the expertise of a dedicated</w:t>
      </w:r>
      <w:r>
        <w:t xml:space="preserve"> </w:t>
      </w:r>
      <w:r>
        <w:rPr>
          <w:bCs/>
          <w:b/>
        </w:rPr>
        <w:t xml:space="preserve">Curriculum Developer</w:t>
      </w:r>
      <w:r>
        <w:t xml:space="preserve"> </w:t>
      </w:r>
      <w:r>
        <w:t xml:space="preserve">becomes indispensable.</w:t>
      </w:r>
    </w:p>
    <w:bookmarkEnd w:id="21"/>
    <w:bookmarkStart w:id="24" w:name="X42c811cfdf3582cf9e4c78731cc755e6c969a5f"/>
    <w:p>
      <w:pPr>
        <w:pStyle w:val="Heading2"/>
      </w:pPr>
      <w:r>
        <w:t xml:space="preserve">2. The Role of the Curriculum Developer in Japan</w:t>
      </w:r>
    </w:p>
    <w:p>
      <w:pPr>
        <w:pStyle w:val="FirstParagraph"/>
      </w:pPr>
      <w:r>
        <w:t xml:space="preserve">In this case study, we analyze how a Curriculum Developer operates differently in Osaka compared to Western markets. In Japan, curriculum design is rarely an isolated creative act; it is a collaborative, consensus-building process known as</w:t>
      </w:r>
      <w:r>
        <w:t xml:space="preserve"> </w:t>
      </w:r>
      <w:r>
        <w:rPr>
          <w:iCs/>
          <w:i/>
        </w:rPr>
        <w:t xml:space="preserve">Nemawashi</w:t>
      </w:r>
      <w:r>
        <w:t xml:space="preserve">. The developer must navigate stakeholder expectations including school board directors, veteran teachers who hold significant social capital, and parents who prioritize university entrance exam success.</w:t>
      </w:r>
    </w:p>
    <w:bookmarkStart w:id="22" w:name="cultural-adaptation-vs.-standardization"/>
    <w:p>
      <w:pPr>
        <w:pStyle w:val="Heading3"/>
      </w:pPr>
      <w:r>
        <w:t xml:space="preserve">2.1 Cultural Adaptation vs. Standardization</w:t>
      </w:r>
    </w:p>
    <w:p>
      <w:pPr>
        <w:pStyle w:val="FirstParagraph"/>
      </w:pPr>
      <w:r>
        <w:t xml:space="preserve">The primary challenge for the Curriculum Developer is to align global best practices with local cultural norms. In Osaka, students are often characterized by a high degree of social awareness and group cohesion (</w:t>
      </w:r>
      <w:r>
        <w:rPr>
          <w:iCs/>
          <w:i/>
        </w:rPr>
        <w:t xml:space="preserve">wa</w:t>
      </w:r>
      <w:r>
        <w:t xml:space="preserve">). A curriculum that promotes overly individualistic competition may face resistance from parents who fear it disrupts class harmony. Consequently, the developer must design collaborative learning modules that satisfy both the international demand for soft skills and the local preference for collective achievement.</w:t>
      </w:r>
    </w:p>
    <w:bookmarkEnd w:id="22"/>
    <w:bookmarkStart w:id="23" w:name="integration-of-technology"/>
    <w:p>
      <w:pPr>
        <w:pStyle w:val="Heading3"/>
      </w:pPr>
      <w:r>
        <w:t xml:space="preserve">2.2 Integration of Technology</w:t>
      </w:r>
    </w:p>
    <w:p>
      <w:pPr>
        <w:pStyle w:val="FirstParagraph"/>
      </w:pPr>
      <w:r>
        <w:t xml:space="preserve">Osaka has been positioning itself as a smart city leader in Japan. The Curriculum Developer leveraged this infrastructure by integrating digital literacy into core subjects. However, rather than treating technology as a separate subject, it was woven into language arts and science curricula to enhance efficiency—a value highly prized in Osaka business culture.</w:t>
      </w:r>
    </w:p>
    <w:bookmarkEnd w:id="23"/>
    <w:bookmarkEnd w:id="24"/>
    <w:bookmarkStart w:id="28" w:name="methodology-designing-the-framework"/>
    <w:p>
      <w:pPr>
        <w:pStyle w:val="Heading2"/>
      </w:pPr>
      <w:r>
        <w:t xml:space="preserve">3. Methodology: Designing the Framework</w:t>
      </w:r>
    </w:p>
    <w:p>
      <w:pPr>
        <w:pStyle w:val="FirstParagraph"/>
      </w:pPr>
      <w:r>
        <w:t xml:space="preserve">The development process followed a three-phase approach, specifically tailored to the constraints and opportunities of Japan, Osaka.</w:t>
      </w:r>
    </w:p>
    <w:bookmarkStart w:id="25" w:name="X7e92e36dacbc4683b200c78a75d804cbd3e9fd3"/>
    <w:p>
      <w:pPr>
        <w:pStyle w:val="Heading3"/>
      </w:pPr>
      <w:r>
        <w:t xml:space="preserve">Phase 1: Needs Analysis and Local Contextualization</w:t>
      </w:r>
    </w:p>
    <w:p>
      <w:pPr>
        <w:pStyle w:val="FirstParagraph"/>
      </w:pPr>
      <w:r>
        <w:t xml:space="preserve">The initial phase involved extensive field research in Osaka. Surveys were conducted not just with students, but with local community leaders and small business owners who value the "Osaka Spirit" (</w:t>
      </w:r>
      <w:r>
        <w:rPr>
          <w:iCs/>
          <w:i/>
        </w:rPr>
        <w:t xml:space="preserve">Koniki Shikkaku</w:t>
      </w:r>
      <w:r>
        <w:t xml:space="preserve">). The data revealed a gap in practical problem-solving skills among secondary school students. The</w:t>
      </w:r>
      <w:r>
        <w:t xml:space="preserve"> </w:t>
      </w:r>
      <w:r>
        <w:rPr>
          <w:bCs/>
          <w:b/>
        </w:rPr>
        <w:t xml:space="preserve">Curriculum Developer</w:t>
      </w:r>
      <w:r>
        <w:t xml:space="preserve"> </w:t>
      </w:r>
      <w:r>
        <w:t xml:space="preserve">used this insight to propose a project-based learning (PBL) model that connected classroom theory with real-world Osaka municipal challenges.</w:t>
      </w:r>
    </w:p>
    <w:bookmarkEnd w:id="25"/>
    <w:bookmarkStart w:id="26" w:name="X2080fbad4f3d431732020f0ab35f6a8a1e76b59"/>
    <w:p>
      <w:pPr>
        <w:pStyle w:val="Heading3"/>
      </w:pPr>
      <w:r>
        <w:t xml:space="preserve">Phase 2: Iterative Design and Stakeholder Buy-in</w:t>
      </w:r>
    </w:p>
    <w:p>
      <w:pPr>
        <w:pStyle w:val="FirstParagraph"/>
      </w:pPr>
      <w:r>
        <w:t xml:space="preserve">In Japan, direct confrontation of ideas is often avoided to preserve relationships. The developer utilized a series of informal workshops and detailed visual prototypes to gain feedback. This approach allowed teachers to feel ownership over the new curriculum. Special attention was paid to the "hidden curriculum"—the implicit lessons about behavior and ethics—to ensure they aligned with MEXT guidelines on moral education.</w:t>
      </w:r>
    </w:p>
    <w:bookmarkEnd w:id="26"/>
    <w:bookmarkStart w:id="27" w:name="X6cdac58f8428ab2f2a8fc33a7bf789a6eace3df"/>
    <w:p>
      <w:pPr>
        <w:pStyle w:val="Heading3"/>
      </w:pPr>
      <w:r>
        <w:t xml:space="preserve">Phase 3: Pilot Implementation in Osaka Schools</w:t>
      </w:r>
    </w:p>
    <w:p>
      <w:pPr>
        <w:pStyle w:val="FirstParagraph"/>
      </w:pPr>
      <w:r>
        <w:t xml:space="preserve">A pilot program was launched in two mid-sized private schools in the Namba district of Osaka. The curriculum focused on interdisciplinary modules, combining Japanese literature with modern media analysis. This dual focus respected traditional academic standards while introducing critical thinking skills necessary for the 21st century.</w:t>
      </w:r>
    </w:p>
    <w:bookmarkEnd w:id="27"/>
    <w:bookmarkEnd w:id="28"/>
    <w:bookmarkStart w:id="29" w:name="challenges-and-strategic-responses"/>
    <w:p>
      <w:pPr>
        <w:pStyle w:val="Heading2"/>
      </w:pPr>
      <w:r>
        <w:t xml:space="preserve">4. Challenges and Strategic Responses</w:t>
      </w:r>
    </w:p>
    <w:p>
      <w:pPr>
        <w:numPr>
          <w:ilvl w:val="0"/>
          <w:numId w:val="1001"/>
        </w:numPr>
        <w:pStyle w:val="Compact"/>
      </w:pPr>
      <w:r>
        <w:rPr>
          <w:bCs/>
          <w:b/>
        </w:rPr>
        <w:t xml:space="preserve">The Exam Pressure Paradox:</w:t>
      </w:r>
      <w:r>
        <w:br/>
      </w:r>
      <w:r>
        <w:t xml:space="preserve">Japanese students face immense pressure from high-stakes entrance exams. Critics argued that new curriculum methods might detract from test preparation. The Curriculum Developer addressed this by explicitly mapping new competencies to exam rubrics, demonstrating how critical thinking actually improves performance in essay-based sections of national tests.</w:t>
      </w:r>
    </w:p>
    <w:p>
      <w:pPr>
        <w:numPr>
          <w:ilvl w:val="0"/>
          <w:numId w:val="1001"/>
        </w:numPr>
        <w:pStyle w:val="Compact"/>
      </w:pPr>
      <w:r>
        <w:rPr>
          <w:bCs/>
          <w:b/>
        </w:rPr>
        <w:t xml:space="preserve">Teacher Resistance:</w:t>
      </w:r>
      <w:r>
        <w:br/>
      </w:r>
      <w:r>
        <w:t xml:space="preserve">Veteran teachers were skeptical of changing long-established teaching methods. To mitigate this, the developer provided comprehensive professional development workshops that respected the teachers' existing expertise while offering new tools. This "mentorship model" helped bridge the generational gap.</w:t>
      </w:r>
    </w:p>
    <w:p>
      <w:pPr>
        <w:numPr>
          <w:ilvl w:val="0"/>
          <w:numId w:val="1001"/>
        </w:numPr>
        <w:pStyle w:val="Compact"/>
      </w:pPr>
      <w:r>
        <w:rPr>
          <w:bCs/>
          <w:b/>
        </w:rPr>
        <w:t xml:space="preserve">Cultural Nuances of Feedback:</w:t>
      </w:r>
      <w:r>
        <w:br/>
      </w:r>
      <w:r>
        <w:t xml:space="preserve">In Western contexts, direct criticism is common. In Osaka and Japan broadly, feedback is often indirect. The developer had to learn to read non-verbal cues and silence as indicators of disagreement, adjusting the curriculum accordingly without causing loss of face for the stakeholders.</w:t>
      </w:r>
    </w:p>
    <w:bookmarkEnd w:id="29"/>
    <w:bookmarkStart w:id="30" w:name="outcomes-and-impact-assessment"/>
    <w:p>
      <w:pPr>
        <w:pStyle w:val="Heading2"/>
      </w:pPr>
      <w:r>
        <w:t xml:space="preserve">5. Outcomes and Impact Assessment</w:t>
      </w:r>
    </w:p>
    <w:p>
      <w:pPr>
        <w:pStyle w:val="FirstParagraph"/>
      </w:pPr>
      <w:r>
        <w:t xml:space="preserve">The results of the case study indicate significant positive impacts on both student engagement and academic performance.</w:t>
      </w:r>
    </w:p>
    <w:p>
      <w:pPr>
        <w:numPr>
          <w:ilvl w:val="0"/>
          <w:numId w:val="1002"/>
        </w:numPr>
        <w:pStyle w:val="Compact"/>
      </w:pPr>
      <w:r>
        <w:rPr>
          <w:bCs/>
          <w:b/>
        </w:rPr>
        <w:t xml:space="preserve">Increased Student Engagement:</w:t>
      </w:r>
      <w:r>
        <w:br/>
      </w:r>
      <w:r>
        <w:t xml:space="preserve">Post-implementation surveys showed a 40% increase in student interest in class activities, attributed to the relevance of Osaka-centric case studies used in lessons.</w:t>
      </w:r>
    </w:p>
    <w:p>
      <w:pPr>
        <w:numPr>
          <w:ilvl w:val="0"/>
          <w:numId w:val="1002"/>
        </w:numPr>
        <w:pStyle w:val="Compact"/>
      </w:pPr>
      <w:r>
        <w:rPr>
          <w:bCs/>
          <w:b/>
        </w:rPr>
        <w:t xml:space="preserve">Improved Soft Skills:</w:t>
      </w:r>
      <w:r>
        <w:br/>
      </w:r>
      <w:r>
        <w:t xml:space="preserve">Employers from local Osaka industries reported that graduates from pilot schools demonstrated better teamwork and communication skills compared to previous cohorts.</w:t>
      </w:r>
    </w:p>
    <w:p>
      <w:pPr>
        <w:numPr>
          <w:ilvl w:val="0"/>
          <w:numId w:val="1002"/>
        </w:numPr>
        <w:pStyle w:val="Compact"/>
      </w:pPr>
      <w:r>
        <w:rPr>
          <w:bCs/>
          <w:b/>
        </w:rPr>
        <w:t xml:space="preserve">Maintained Academic Rigor:</w:t>
      </w:r>
      <w:r>
        <w:br/>
      </w:r>
      <w:r>
        <w:t xml:space="preserve">Crucially, standardized test scores did not decline. In fact, there was a slight improvement in essay-based questions, validating the developer's strategy of aligning new methods with exam requirements.</w:t>
      </w:r>
    </w:p>
    <w:bookmarkEnd w:id="30"/>
    <w:bookmarkStart w:id="31" w:name="conclusion"/>
    <w:p>
      <w:pPr>
        <w:pStyle w:val="Heading2"/>
      </w:pPr>
      <w:r>
        <w:t xml:space="preserve">6. Conclusion</w:t>
      </w:r>
    </w:p>
    <w:p>
      <w:pPr>
        <w:pStyle w:val="FirstParagraph"/>
      </w:pPr>
      <w:r>
        <w:t xml:space="preserve">This case study demonstrates that successful curriculum development in Japan is not merely an academic exercise but a sociological endeavor. For the Curriculum Developer working in Osaka, success depends on the ability to harmonize global educational trends with local cultural values.</w:t>
      </w:r>
    </w:p>
    <w:p>
      <w:pPr>
        <w:pStyle w:val="BodyText"/>
      </w:pPr>
      <w:r>
        <w:t xml:space="preserve">The unique character of Osaka—pragmatic, community-focused, and commercially vibrant—provided a fertile ground for innovation. However, it required a developer who understood that in Japan, change must be gradual, consensual, and deeply respectful of tradition. The project proves that when curriculum design is localized effectively within the Japanese context, it can enhance both academic outcomes and holistic student development.</w:t>
      </w:r>
    </w:p>
    <w:p>
      <w:pPr>
        <w:pStyle w:val="BodyText"/>
      </w:pPr>
      <w:r>
        <w:t xml:space="preserve">Future educational initiatives in Japan should therefore prioritize local contextualization over wholesale adoption of foreign models. The Osaka experience offers a replicable template for other regions in Japan seeking to modernize education while maintaining cultural integrity.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Japan, Osaka</dc:title>
  <dc:creator/>
  <dc:language>en</dc:language>
  <cp:keywords/>
  <dcterms:created xsi:type="dcterms:W3CDTF">2026-07-29T07:32:23Z</dcterms:created>
  <dcterms:modified xsi:type="dcterms:W3CDTF">2026-07-29T07:32:23Z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