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Japan</w:t>
      </w:r>
      <w:r>
        <w:t xml:space="preserve"> </w:t>
      </w:r>
      <w:r>
        <w:t xml:space="preserve">Tokyo</w:t>
      </w:r>
    </w:p>
    <w:bookmarkStart w:id="31" w:name="X97c22227a24943cdbb97bd724e5df8db66c75b1"/>
    <w:p>
      <w:pPr>
        <w:pStyle w:val="Heading1"/>
      </w:pPr>
      <w:r>
        <w:t xml:space="preserve">Bridging Cultures and Competencies: A Curriculum Development Case Study in Japan, Tokyo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Tokyo, Japan</w:t>
      </w:r>
      <w:r>
        <w:br/>
      </w:r>
      <w:r>
        <w:rPr>
          <w:bCs/>
          <w:b/>
        </w:rPr>
        <w:t xml:space="preserve">Role Focus:</w:t>
      </w:r>
    </w:p>
    <w:bookmarkStart w:id="20" w:name="executive-summary"/>
    <w:p>
      <w:pPr>
        <w:pStyle w:val="Heading2"/>
      </w:pPr>
      <w:r>
        <w:t xml:space="preserve">1. Executive Summary</w:t>
      </w:r>
    </w:p>
    <w:p>
      <w:pPr>
        <w:pStyle w:val="FirstParagraph"/>
      </w:pPr>
      <w:r>
        <w:t xml:space="preserve">In the rapidly evolving educational landscape of modern Asia, the intersection of traditional Japanese pedagogical values and globalized competency frameworks presents a unique challenge for educators. This case study examines the role and impact of a specialized</w:t>
      </w:r>
      <w:r>
        <w:t xml:space="preserve"> </w:t>
      </w:r>
      <w:r>
        <w:rPr>
          <w:bCs/>
          <w:b/>
        </w:rPr>
        <w:t xml:space="preserve">Curriculum Developer</w:t>
      </w:r>
      <w:r>
        <w:t xml:space="preserve"> </w:t>
      </w:r>
      <w:r>
        <w:t xml:space="preserve">tasked with designing an advanced English proficiency program within a prestigious international preparatory institute located in the heart of</w:t>
      </w:r>
      <w:r>
        <w:t xml:space="preserve"> </w:t>
      </w:r>
      <w:r>
        <w:rPr>
          <w:bCs/>
          <w:b/>
        </w:rPr>
        <w:t xml:space="preserve">Tokyo, Japan</w:t>
      </w:r>
      <w:r>
        <w:t xml:space="preserve">. The primary objective was to create a curriculum that not only met rigorous academic standards but also resonated culturally with local students while preparing them for global university admissions.</w:t>
      </w:r>
    </w:p>
    <w:bookmarkEnd w:id="20"/>
    <w:bookmarkStart w:id="21" w:name="context-and-background"/>
    <w:p>
      <w:pPr>
        <w:pStyle w:val="Heading2"/>
      </w:pPr>
      <w:r>
        <w:t xml:space="preserve">2. Context and Background</w:t>
      </w:r>
    </w:p>
    <w:p>
      <w:pPr>
        <w:pStyle w:val="FirstParagraph"/>
      </w:pPr>
      <w:r>
        <w:rPr>
          <w:bCs/>
          <w:b/>
        </w:rPr>
        <w:t xml:space="preserve">Tokyo, Japan</w:t>
      </w:r>
      <w:r>
        <w:t xml:space="preserve">, serves as the cultural and economic hub of the nation, characterized by a highly competitive educational environment. For decades, English education in Japanese public schools has been heavily focused on grammar translation methods rather than communicative competence. However, recent government initiatives under the "Global Human Resource Development" strategy have mandated a shift toward active communication skills from elementary levels onward.</w:t>
      </w:r>
    </w:p>
    <w:p>
      <w:pPr>
        <w:pStyle w:val="BodyText"/>
      </w:pPr>
      <w:r>
        <w:t xml:space="preserve">In response to this national shift and the growing demand for internationally minded students in</w:t>
      </w:r>
      <w:r>
        <w:t xml:space="preserve"> </w:t>
      </w:r>
      <w:r>
        <w:rPr>
          <w:bCs/>
          <w:b/>
        </w:rPr>
        <w:t xml:space="preserve">Tokyo</w:t>
      </w:r>
      <w:r>
        <w:t xml:space="preserve">, an elite private institute sought to launch a new flagship program. The challenge lay in bridging the gap between traditional rote-learning expectations prevalent in local culture and the critical thinking, debate, and collaborative skills required by Western universities. The institute hired a senior</w:t>
      </w:r>
      <w:r>
        <w:t xml:space="preserve"> </w:t>
      </w:r>
      <w:r>
        <w:rPr>
          <w:bCs/>
          <w:b/>
        </w:rPr>
        <w:t xml:space="preserve">Curriculum Developer</w:t>
      </w:r>
      <w:r>
        <w:t xml:space="preserve"> </w:t>
      </w:r>
      <w:r>
        <w:t xml:space="preserve">with expertise in cross-cultural pedagogy to lead this transformation.</w:t>
      </w:r>
    </w:p>
    <w:bookmarkEnd w:id="21"/>
    <w:bookmarkStart w:id="22" w:name="Xb41fcbd03e59b61844f9e0206883cfdf8d00970"/>
    <w:p>
      <w:pPr>
        <w:pStyle w:val="Heading2"/>
      </w:pPr>
      <w:r>
        <w:t xml:space="preserve">3. The Challenge: Cultural Nuances and Pedagogical Shifts</w:t>
      </w:r>
    </w:p>
    <w:p>
      <w:pPr>
        <w:pStyle w:val="FirstParagraph"/>
      </w:pPr>
      <w:r>
        <w:rPr>
          <w:bCs/>
          <w:b/>
        </w:rPr>
        <w:t xml:space="preserve">The Core Dilemma:</w:t>
      </w:r>
      <w:r>
        <w:t xml:space="preserve"> </w:t>
      </w:r>
      <w:r>
        <w:t xml:space="preserve">How to implement a student-centered, inquiry-based curriculum in a culture that traditionally values teacher authority, harmony (wa), and exam-oriented results.</w:t>
      </w:r>
    </w:p>
    <w:p>
      <w:pPr>
        <w:pStyle w:val="BodyText"/>
      </w:pPr>
      <w:r>
        <w:t xml:space="preserve">The</w:t>
      </w:r>
      <w:r>
        <w:t xml:space="preserve"> </w:t>
      </w:r>
      <w:r>
        <w:rPr>
          <w:bCs/>
          <w:b/>
        </w:rPr>
        <w:t xml:space="preserve">Curriculum Developer</w:t>
      </w:r>
      <w:r>
        <w:t xml:space="preserve"> </w:t>
      </w:r>
      <w:r>
        <w:t xml:space="preserve">faced several distinct hurdles:</w:t>
      </w:r>
    </w:p>
    <w:p>
      <w:pPr>
        <w:numPr>
          <w:ilvl w:val="0"/>
          <w:numId w:val="1001"/>
        </w:numPr>
        <w:pStyle w:val="Compact"/>
      </w:pPr>
      <w:r>
        <w:rPr>
          <w:bCs/>
          <w:b/>
        </w:rPr>
        <w:t xml:space="preserve">Cultural Resistance:</w:t>
      </w:r>
      <w:r>
        <w:t xml:space="preserve"> </w:t>
      </w:r>
      <w:r>
        <w:t xml:space="preserve">Parents and students in Tokyo were accustomed to clear, measurable outcomes (test scores) rather than open-ended projects. There was skepticism regarding the utility of "soft skills" like public speaking.</w:t>
      </w:r>
    </w:p>
    <w:p>
      <w:pPr>
        <w:numPr>
          <w:ilvl w:val="0"/>
          <w:numId w:val="1001"/>
        </w:numPr>
        <w:pStyle w:val="Compact"/>
      </w:pPr>
      <w:r>
        <w:rPr>
          <w:bCs/>
          <w:b/>
        </w:rPr>
        <w:t xml:space="preserve">Linguistic Proficiency Variance:</w:t>
      </w:r>
      <w:r>
        <w:t xml:space="preserve"> </w:t>
      </w:r>
      <w:r>
        <w:t xml:space="preserve">Students in</w:t>
      </w:r>
      <w:r>
        <w:t xml:space="preserve"> </w:t>
      </w:r>
      <w:r>
        <w:rPr>
          <w:bCs/>
          <w:b/>
        </w:rPr>
        <w:t xml:space="preserve">Tokyo</w:t>
      </w:r>
      <w:r>
        <w:t xml:space="preserve"> </w:t>
      </w:r>
      <w:r>
        <w:t xml:space="preserve">varied widely in their foundational English knowledge. A one-size-fits-all approach would leave many behind or bore others.</w:t>
      </w:r>
    </w:p>
    <w:p>
      <w:pPr>
        <w:numPr>
          <w:ilvl w:val="0"/>
          <w:numId w:val="1001"/>
        </w:numPr>
        <w:pStyle w:val="Compact"/>
      </w:pPr>
      <w:r>
        <w:rPr>
          <w:bCs/>
          <w:b/>
        </w:rPr>
        <w:t xml:space="preserve">Bilingual Integration:</w:t>
      </w:r>
      <w:r>
        <w:t xml:space="preserve"> </w:t>
      </w:r>
      <w:r>
        <w:t xml:space="preserve">The curriculum needed to incorporate Japanese cultural contexts to make learning relevant, rather than simply translating Western materials.</w:t>
      </w:r>
    </w:p>
    <w:bookmarkEnd w:id="22"/>
    <w:bookmarkStart w:id="26" w:name="methodology-the-development-process"/>
    <w:p>
      <w:pPr>
        <w:pStyle w:val="Heading2"/>
      </w:pPr>
      <w:r>
        <w:t xml:space="preserve">4. Methodology: The Development Process</w:t>
      </w:r>
    </w:p>
    <w:p>
      <w:pPr>
        <w:pStyle w:val="FirstParagraph"/>
      </w:pPr>
      <w:r>
        <w:t xml:space="preserve">The</w:t>
      </w:r>
      <w:r>
        <w:t xml:space="preserve"> </w:t>
      </w:r>
      <w:r>
        <w:rPr>
          <w:bCs/>
          <w:b/>
        </w:rPr>
        <w:t xml:space="preserve">Curriculum Developer</w:t>
      </w:r>
      <w:r>
        <w:t xml:space="preserve"> </w:t>
      </w:r>
      <w:r>
        <w:t xml:space="preserve">adopted a phased approach, utilizing Design Thinking principles adapted for the Japanese educational context.</w:t>
      </w:r>
    </w:p>
    <w:bookmarkStart w:id="23" w:name="Xda8eb60d87a3bba1b22ed25b11550f03d3e42f0"/>
    <w:p>
      <w:pPr>
        <w:pStyle w:val="Heading3"/>
      </w:pPr>
      <w:r>
        <w:t xml:space="preserve">A. Stakeholder Analysis and Empathy Mapping</w:t>
      </w:r>
    </w:p>
    <w:p>
      <w:pPr>
        <w:pStyle w:val="FirstParagraph"/>
      </w:pPr>
      <w:r>
        <w:t xml:space="preserve">The initial phase involved extensive consultation with local teachers, parents in Tokyo, and university admissions officers. The developer recognized that "face" (menboku) is crucial in Japanese social interactions. Therefore, the curriculum was designed to allow students to practice speaking without the fear of public embarrassment. This led to the introduction of small-group collaborative tasks before whole-class presentations.</w:t>
      </w:r>
    </w:p>
    <w:bookmarkEnd w:id="23"/>
    <w:bookmarkStart w:id="24" w:name="Xa66a2d4f6486e058448b7cb8d8bb9fb9bb1a6f8"/>
    <w:p>
      <w:pPr>
        <w:pStyle w:val="Heading3"/>
      </w:pPr>
      <w:r>
        <w:t xml:space="preserve">B. Backwards Design from Global Standards</w:t>
      </w:r>
    </w:p>
    <w:p>
      <w:pPr>
        <w:pStyle w:val="FirstParagraph"/>
      </w:pPr>
      <w:r>
        <w:t xml:space="preserve">Aligning with CEFR (Common European Framework of Reference for Languages) and TOEFL/IELTS standards, the developer mapped out end goals. However, instead of standard textbooks, they developed bespoke modules that utilized Tokyo as a case study subject. For example, a unit on "Urban Sustainability" allowed students to interview local residents about recycling policies in Tokyo prefectures, blending local knowledge with English communication.</w:t>
      </w:r>
    </w:p>
    <w:bookmarkEnd w:id="24"/>
    <w:bookmarkStart w:id="25" w:name="c.-scaffolded-assessment"/>
    <w:p>
      <w:pPr>
        <w:pStyle w:val="Heading3"/>
      </w:pPr>
      <w:r>
        <w:t xml:space="preserve">C. Scaffolded Assessment</w:t>
      </w:r>
    </w:p>
    <w:p>
      <w:pPr>
        <w:pStyle w:val="FirstParagraph"/>
      </w:pPr>
      <w:r>
        <w:t xml:space="preserve">To address parental concerns about measurable outcomes, the developer integrated formative assessments that looked like traditional tests initially but evolved into portfolio-based evaluations. This gradual transition helped ease stakeholders into the new pedagogical model without shocking the system.</w:t>
      </w:r>
    </w:p>
    <w:bookmarkEnd w:id="25"/>
    <w:bookmarkEnd w:id="26"/>
    <w:bookmarkStart w:id="27" w:name="implementation-in-tokyo"/>
    <w:p>
      <w:pPr>
        <w:pStyle w:val="Heading2"/>
      </w:pPr>
      <w:r>
        <w:t xml:space="preserve">5. Implementation in Tokyo</w:t>
      </w:r>
    </w:p>
    <w:p>
      <w:pPr>
        <w:pStyle w:val="FirstParagraph"/>
      </w:pPr>
      <w:r>
        <w:t xml:space="preserve">The pilot program was launched in Shinjuku, a central district of</w:t>
      </w:r>
      <w:r>
        <w:t xml:space="preserve"> </w:t>
      </w:r>
      <w:r>
        <w:rPr>
          <w:bCs/>
          <w:b/>
        </w:rPr>
        <w:t xml:space="preserve">Tokyo</w:t>
      </w:r>
      <w:r>
        <w:t xml:space="preserve">. The physical classroom environment was redesigned to break away from rows of desks facing a blackboard, promoting circular group discussions. This spatial change supported the curriculum’s focus on collaboration.</w:t>
      </w:r>
    </w:p>
    <w:p>
      <w:pPr>
        <w:pStyle w:val="BodyText"/>
      </w:pPr>
      <w:r>
        <w:t xml:space="preserve">Teachers underwent intensive training led by the</w:t>
      </w:r>
      <w:r>
        <w:t xml:space="preserve"> </w:t>
      </w:r>
      <w:r>
        <w:rPr>
          <w:bCs/>
          <w:b/>
        </w:rPr>
        <w:t xml:space="preserve">Curriculum Developer</w:t>
      </w:r>
      <w:r>
        <w:t xml:space="preserve">. The training emphasized "scaffolding" language support, ensuring that students had the linguistic tools to express complex ideas before being asked to do so independently. This was critical in a context where students often remain silent due to perfectionism.</w:t>
      </w:r>
    </w:p>
    <w:bookmarkEnd w:id="27"/>
    <w:bookmarkStart w:id="28" w:name="results-and-impact"/>
    <w:p>
      <w:pPr>
        <w:pStyle w:val="Heading2"/>
      </w:pPr>
      <w:r>
        <w:t xml:space="preserve">6. Results and Impact</w:t>
      </w:r>
    </w:p>
    <w:p>
      <w:pPr>
        <w:pStyle w:val="FirstParagraph"/>
      </w:pPr>
      <w:r>
        <w:t xml:space="preserve">After two academic years, the data indicated significant positive outcomes:</w:t>
      </w:r>
    </w:p>
    <w:p>
      <w:pPr>
        <w:numPr>
          <w:ilvl w:val="0"/>
          <w:numId w:val="1002"/>
        </w:numPr>
        <w:pStyle w:val="Compact"/>
      </w:pPr>
      <w:r>
        <w:rPr>
          <w:bCs/>
          <w:b/>
        </w:rPr>
        <w:t xml:space="preserve">Metric Improvement:</w:t>
      </w:r>
      <w:r>
        <w:t xml:space="preserve"> </w:t>
      </w:r>
      <w:r>
        <w:t xml:space="preserve">Student average scores in TOEFL iBT speaking sections increased by 15%, outperforming regional averages.</w:t>
      </w:r>
    </w:p>
    <w:p>
      <w:pPr>
        <w:numPr>
          <w:ilvl w:val="0"/>
          <w:numId w:val="1002"/>
        </w:numPr>
        <w:pStyle w:val="Compact"/>
      </w:pPr>
      <w:r>
        <w:rPr>
          <w:bCs/>
          <w:b/>
        </w:rPr>
        <w:t xml:space="preserve">Engagement Levels:</w:t>
      </w:r>
      <w:r>
        <w:t xml:space="preserve"> </w:t>
      </w:r>
      <w:r>
        <w:t xml:space="preserve">Surveys showed a 40% increase in student self-reported confidence when speaking English. The fear of making mistakes decreased significantly due to the supportive, group-based structure.</w:t>
      </w:r>
    </w:p>
    <w:p>
      <w:pPr>
        <w:numPr>
          <w:ilvl w:val="0"/>
          <w:numId w:val="1002"/>
        </w:numPr>
        <w:pStyle w:val="Compact"/>
      </w:pPr>
      <w:r>
        <w:rPr>
          <w:bCs/>
          <w:b/>
        </w:rPr>
        <w:t xml:space="preserve">Cultural Pride:</w:t>
      </w:r>
      <w:r>
        <w:t xml:space="preserve"> </w:t>
      </w:r>
      <w:r>
        <w:t xml:space="preserve">Students demonstrated an ability to articulate Japanese cultural concepts in English effectively, fulfilling the goal of "Glocal" communication (Global thinking, Local acting).</w:t>
      </w:r>
    </w:p>
    <w:p>
      <w:pPr>
        <w:pStyle w:val="FirstParagraph"/>
      </w:pPr>
      <w:r>
        <w:t xml:space="preserve">The success of this pilot led to immediate expansion across three other campuses in the greater Tokyo area. Parents reported higher satisfaction levels as they observed their children becoming more articulate and confident in international settings.</w:t>
      </w:r>
    </w:p>
    <w:bookmarkEnd w:id="28"/>
    <w:bookmarkStart w:id="29" w:name="key-takeaways-for-curriculum-developers"/>
    <w:p>
      <w:pPr>
        <w:pStyle w:val="Heading2"/>
      </w:pPr>
      <w:r>
        <w:t xml:space="preserve">7. Key Takeaways for Curriculum Developers</w:t>
      </w:r>
    </w:p>
    <w:p>
      <w:pPr>
        <w:pStyle w:val="FirstParagraph"/>
      </w:pPr>
      <w:r>
        <w:t xml:space="preserve">This case study highlights that effective curriculum development is not merely about content selection but deeply intertwined with cultural context. For a</w:t>
      </w:r>
      <w:r>
        <w:t xml:space="preserve"> </w:t>
      </w:r>
      <w:r>
        <w:rPr>
          <w:bCs/>
          <w:b/>
        </w:rPr>
        <w:t xml:space="preserve">Curriculum Developer</w:t>
      </w:r>
      <w:r>
        <w:t xml:space="preserve"> </w:t>
      </w:r>
      <w:r>
        <w:t xml:space="preserve">operating in Japan, particularly in the competitive and culturally rich environment of Tokyo, success requires:</w:t>
      </w:r>
    </w:p>
    <w:p>
      <w:pPr>
        <w:numPr>
          <w:ilvl w:val="0"/>
          <w:numId w:val="1003"/>
        </w:numPr>
        <w:pStyle w:val="Compact"/>
      </w:pPr>
      <w:r>
        <w:rPr>
          <w:bCs/>
          <w:b/>
        </w:rPr>
        <w:t xml:space="preserve">Cultural Sensitivity:</w:t>
      </w:r>
      <w:r>
        <w:t xml:space="preserve"> </w:t>
      </w:r>
      <w:r>
        <w:t xml:space="preserve">Understanding social dynamics such as harmony and face-saving is essential for designing assessment methods that students will accept.</w:t>
      </w:r>
    </w:p>
    <w:p>
      <w:pPr>
        <w:numPr>
          <w:ilvl w:val="0"/>
          <w:numId w:val="1003"/>
        </w:numPr>
        <w:pStyle w:val="Compact"/>
      </w:pPr>
      <w:r>
        <w:rPr>
          <w:bCs/>
          <w:b/>
        </w:rPr>
        <w:t xml:space="preserve">Bridging Traditions:</w:t>
      </w:r>
      <w:r>
        <w:t xml:space="preserve"> </w:t>
      </w:r>
      <w:r>
        <w:t xml:space="preserve">Respecting the local emphasis on diligence and structure while gently introducing critical thinking requires a hybrid pedagogical model.</w:t>
      </w:r>
    </w:p>
    <w:p>
      <w:pPr>
        <w:numPr>
          <w:ilvl w:val="0"/>
          <w:numId w:val="1003"/>
        </w:numPr>
        <w:pStyle w:val="Compact"/>
      </w:pPr>
      <w:r>
        <w:rPr>
          <w:bCs/>
          <w:b/>
        </w:rPr>
        <w:t xml:space="preserve">Local Relevance:</w:t>
      </w:r>
      <w:r>
        <w:t xml:space="preserve"> </w:t>
      </w:r>
      <w:r>
        <w:t xml:space="preserve">Using Tokyo’s unique urban landscape as a learning tool makes abstract language concepts tangible and engaging.</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Curriculum Developer</w:t>
      </w:r>
      <w:r>
        <w:t xml:space="preserve"> </w:t>
      </w:r>
      <w:r>
        <w:t xml:space="preserve">in this instance transcended traditional instructional design. It became an exercise in cultural translation and strategic change management. By anchoring global educational standards within the specific socio-cultural fabric of Tokyo, Japan, the resulting curriculum achieved both academic rigor and cultural resonance. This case serves as a blueprint for educators seeking to implement innovative programs in East Asia, demonstrating that when development is localized, global competencies are not just taught but truly embodied.</w:t>
      </w:r>
    </w:p>
    <w:p>
      <w:pPr>
        <w:pStyle w:val="BodyText"/>
      </w:pPr>
      <w:r>
        <w:rPr>
          <w:iCs/>
          <w:i/>
        </w:rPr>
        <w:t xml:space="preserve">This document underscores the critical importance of adapting educational frameworks to local contexts. As globalization continues to reshape education in Tokyo and beyond, the nuanced approach detailed here remains vital for producing graduates who are both globally competitive and culturally grounded.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Japan Tokyo</dc:title>
  <dc:creator/>
  <dc:language>en</dc:language>
  <cp:keywords/>
  <dcterms:created xsi:type="dcterms:W3CDTF">2026-07-29T04:53:16Z</dcterms:created>
  <dcterms:modified xsi:type="dcterms:W3CDTF">2026-07-29T04:53:16Z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