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30" w:name="Xd79c308c6c067ac46a4b84fa91bf63d7fd242b2"/>
    <w:p>
      <w:pPr>
        <w:pStyle w:val="Heading1"/>
      </w:pPr>
      <w:r>
        <w:t xml:space="preserve">Case Study: Strategic Curriculum Development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r>
        <w:t xml:space="preserve"> </w:t>
      </w:r>
      <w:r>
        <w:t xml:space="preserve">Global Education Solutions Group</w:t>
      </w:r>
      <w:r>
        <w:br/>
      </w:r>
      <w:r>
        <w:t xml:space="preserve">The Evolution of the</w:t>
      </w:r>
      <w:r>
        <w:t xml:space="preserve"> </w:t>
      </w:r>
      <w:r>
        <w:rPr>
          <w:iCs/>
          <w:i/>
        </w:rPr>
        <w:t xml:space="preserve">Curriculum Developer</w:t>
      </w:r>
      <w:r>
        <w:t xml:space="preserve"> </w:t>
      </w:r>
      <w:r>
        <w:t xml:space="preserve">Role within the Complex Context of</w:t>
      </w:r>
      <w:r>
        <w:t xml:space="preserve"> </w:t>
      </w:r>
      <w:r>
        <w:rPr>
          <w:iCs/>
          <w:i/>
        </w:rPr>
        <w:t xml:space="preserve">Myanmar Yangon</w:t>
      </w:r>
    </w:p>
    <w:bookmarkStart w:id="20" w:name="executive-summary"/>
    <w:p>
      <w:pPr>
        <w:pStyle w:val="Heading2"/>
      </w:pPr>
      <w:r>
        <w:t xml:space="preserve">1. Executive Summary</w:t>
      </w:r>
    </w:p>
    <w:p>
      <w:pPr>
        <w:pStyle w:val="FirstParagraph"/>
      </w:pPr>
      <w:r>
        <w:t xml:space="preserve">In the dynamic landscape of Southeast Asian education,</w:t>
      </w:r>
      <w:r>
        <w:t xml:space="preserve"> </w:t>
      </w:r>
      <w:hyperlink w:anchor="Xa39a3ee5e6b4b0d3255bfef95601890afd80709">
        <w:r>
          <w:rPr>
            <w:rStyle w:val="Hyperlink"/>
            <w:bCs/>
            <w:b/>
          </w:rPr>
          <w:t xml:space="preserve">Myanmar Yangon</w:t>
        </w:r>
      </w:hyperlink>
      <w:r>
        <w:t xml:space="preserve"> </w:t>
      </w:r>
      <w:r>
        <w:t xml:space="preserve">stands as a critical hub for academic innovation and reform. This case study explores the pivotal role of the</w:t>
      </w:r>
      <w:r>
        <w:t xml:space="preserve"> </w:t>
      </w:r>
      <w:r>
        <w:t xml:space="preserve">Curriculum Developer</w:t>
      </w:r>
      <w:r>
        <w:t xml:space="preserve"> </w:t>
      </w:r>
      <w:r>
        <w:t xml:space="preserve">operating within this unique socio-political environment. The objective is to analyze how educational frameworks are adapted, localized, and delivered in a city that serves as Myanmar’s economic and cultural heart. By examining specific challenges, strategic interventions, and outcomes, we aim to provide a comprehensive guide for educators seeking to implement sustainable</w:t>
      </w:r>
      <w:r>
        <w:t xml:space="preserve"> </w:t>
      </w:r>
      <w:hyperlink w:anchor="Xa39a3ee5e6b4b0d3255bfef95601890afd80709">
        <w:r>
          <w:rPr>
            <w:rStyle w:val="Hyperlink"/>
            <w:bCs/>
            <w:b/>
          </w:rPr>
          <w:t xml:space="preserve">Curriculum Developer</w:t>
        </w:r>
      </w:hyperlink>
      <w:r>
        <w:t xml:space="preserve"> </w:t>
      </w:r>
      <w:r>
        <w:t xml:space="preserve">initiatives in</w:t>
      </w:r>
      <w:r>
        <w:t xml:space="preserve"> </w:t>
      </w:r>
      <w:hyperlink w:anchor="Xa39a3ee5e6b4b0d3255bfef95601890afd80709">
        <w:r>
          <w:rPr>
            <w:rStyle w:val="Hyperlink"/>
            <w:bCs/>
            <w:b/>
          </w:rPr>
          <w:t xml:space="preserve">Myanmar Yangon</w:t>
        </w:r>
      </w:hyperlink>
      <w:r>
        <w:t xml:space="preserve">.</w:t>
      </w:r>
    </w:p>
    <w:bookmarkEnd w:id="20"/>
    <w:bookmarkStart w:id="21" w:name="X4f9c55c2c1d584e54191dd9f2f649afa5247772"/>
    <w:p>
      <w:pPr>
        <w:pStyle w:val="Heading2"/>
      </w:pPr>
      <w:r>
        <w:t xml:space="preserve">2. Contextual Background: The Landscape of Myanmar Yangon</w:t>
      </w:r>
    </w:p>
    <w:p>
      <w:pPr>
        <w:pStyle w:val="FirstParagraph"/>
      </w:pPr>
      <w:r>
        <w:t xml:space="preserve">Myanmar Yangon</w:t>
      </w:r>
      <w:r>
        <w:t xml:space="preserve"> </w:t>
      </w:r>
      <w:r>
        <w:t xml:space="preserve">is not merely a geographic location; it is the epicenter of the nation’s educational aspirations and challenges. As the former capital and current commercial hub,</w:t>
      </w:r>
      <w:r>
        <w:t xml:space="preserve"> </w:t>
      </w:r>
      <w:hyperlink w:anchor="Xa39a3ee5e6b4b0d3255bfef95601890afd80709">
        <w:r>
          <w:rPr>
            <w:rStyle w:val="Hyperlink"/>
            <w:bCs/>
            <w:b/>
          </w:rPr>
          <w:t xml:space="preserve">Myanmar Yangon</w:t>
        </w:r>
      </w:hyperlink>
      <w:r>
        <w:t xml:space="preserve"> </w:t>
      </w:r>
      <w:r>
        <w:t xml:space="preserve">hosts a diverse mix of public schools, international institutions, vocational training centers, and private universities. However, the educational sector in</w:t>
      </w:r>
      <w:r>
        <w:t xml:space="preserve"> </w:t>
      </w:r>
      <w:hyperlink w:anchor="Xa39a3ee5e6b4b0d3255bfef95601890afd80709">
        <w:r>
          <w:rPr>
            <w:rStyle w:val="Hyperlink"/>
            <w:bCs/>
            <w:b/>
          </w:rPr>
          <w:t xml:space="preserve">Myanmar Yangon</w:t>
        </w:r>
      </w:hyperlink>
      <w:r>
        <w:t xml:space="preserve"> </w:t>
      </w:r>
      <w:r>
        <w:t xml:space="preserve">faces significant hurdles.</w:t>
      </w:r>
    </w:p>
    <w:p>
      <w:pPr>
        <w:pStyle w:val="BodyText"/>
      </w:pPr>
      <w:r>
        <w:t xml:space="preserve">The region has experienced substantial political and economic shifts in recent years. These fluctuations have impacted funding streams for education, caused brain drain among faculty members, and created disruptions in traditional learning pathways. Furthermore, the digital divide remains a pressing issue. While urban centers like</w:t>
      </w:r>
      <w:r>
        <w:t xml:space="preserve"> </w:t>
      </w:r>
      <w:hyperlink w:anchor="Xa39a3ee5e6b4b0d3255bfef95601890afd80709">
        <w:r>
          <w:rPr>
            <w:rStyle w:val="Hyperlink"/>
            <w:bCs/>
            <w:b/>
          </w:rPr>
          <w:t xml:space="preserve">Myanmar Yangon</w:t>
        </w:r>
      </w:hyperlink>
      <w:r>
        <w:t xml:space="preserve"> </w:t>
      </w:r>
      <w:r>
        <w:t xml:space="preserve">have improved internet infrastructure compared to rural areas, access to high-quality digital resources is still uneven. This context demands that any educational intervention must be resilient, adaptable, and deeply rooted in local realities.</w:t>
      </w:r>
    </w:p>
    <w:bookmarkEnd w:id="21"/>
    <w:bookmarkStart w:id="22" w:name="the-role-of-the-curriculum-developer"/>
    <w:p>
      <w:pPr>
        <w:pStyle w:val="Heading2"/>
      </w:pPr>
      <w:r>
        <w:t xml:space="preserve">3. The Role of the Curriculum Developer</w:t>
      </w:r>
    </w:p>
    <w:p>
      <w:pPr>
        <w:pStyle w:val="FirstParagraph"/>
      </w:pPr>
      <w:r>
        <w:t xml:space="preserve">In this volatile environment, the</w:t>
      </w:r>
      <w:r>
        <w:t xml:space="preserve"> </w:t>
      </w:r>
      <w:r>
        <w:t xml:space="preserve">Curriculum Developer</w:t>
      </w:r>
      <w:r>
        <w:t xml:space="preserve"> </w:t>
      </w:r>
      <w:r>
        <w:t xml:space="preserve">is no longer just an academic designer; they have evolved into a strategic crisis manager, cultural interpreter, and technological integrator. The</w:t>
      </w:r>
      <w:r>
        <w:t xml:space="preserve"> </w:t>
      </w:r>
      <w:hyperlink w:anchor="Xa39a3ee5e6b4b0d3255bfef95601890afd80709">
        <w:r>
          <w:rPr>
            <w:rStyle w:val="Hyperlink"/>
            <w:bCs/>
            <w:b/>
          </w:rPr>
          <w:t xml:space="preserve">Curriculum Developer</w:t>
        </w:r>
      </w:hyperlink>
      <w:r>
        <w:t xml:space="preserve"> </w:t>
      </w:r>
      <w:r>
        <w:t xml:space="preserve">in</w:t>
      </w:r>
      <w:r>
        <w:t xml:space="preserve"> </w:t>
      </w:r>
      <w:hyperlink w:anchor="Xa39a3ee5e6b4b0d3255bfef95601890afd80709">
        <w:r>
          <w:rPr>
            <w:rStyle w:val="Hyperlink"/>
            <w:bCs/>
            <w:b/>
          </w:rPr>
          <w:t xml:space="preserve">Myanmar Yangon</w:t>
        </w:r>
      </w:hyperlink>
      <w:r>
        <w:t xml:space="preserve"> </w:t>
      </w:r>
      <w:r>
        <w:t xml:space="preserve">must navigate a complex matrix of requirements:</w:t>
      </w:r>
    </w:p>
    <w:p>
      <w:pPr>
        <w:numPr>
          <w:ilvl w:val="0"/>
          <w:numId w:val="1001"/>
        </w:numPr>
        <w:pStyle w:val="Compact"/>
      </w:pPr>
      <w:r>
        <w:rPr>
          <w:bCs/>
          <w:b/>
        </w:rPr>
        <w:t xml:space="preserve">Cultural Localization:</w:t>
      </w:r>
      <w:r>
        <w:t xml:space="preserve">The content must respect Myanmar’s rich cultural heritage and Buddhist traditions while introducing global competencies. The</w:t>
      </w:r>
      <w:r>
        <w:t xml:space="preserve"> </w:t>
      </w:r>
      <w:r>
        <w:t xml:space="preserve">Curriculum Developer</w:t>
      </w:r>
      <w:r>
        <w:t xml:space="preserve"> </w:t>
      </w:r>
      <w:r>
        <w:t xml:space="preserve">ensures that materials are relatable to students in</w:t>
      </w:r>
      <w:r>
        <w:t xml:space="preserve"> </w:t>
      </w:r>
      <w:hyperlink w:anchor="Xa39a3ee5e6b4b0d3255bfef95601890afd80709">
        <w:r>
          <w:rPr>
            <w:rStyle w:val="Hyperlink"/>
            <w:bCs/>
            <w:b/>
          </w:rPr>
          <w:t xml:space="preserve">Myanmar Yangon</w:t>
        </w:r>
      </w:hyperlink>
      <w:r>
        <w:t xml:space="preserve">, using local examples, languages, and contexts.</w:t>
      </w:r>
    </w:p>
    <w:p>
      <w:pPr>
        <w:numPr>
          <w:ilvl w:val="0"/>
          <w:numId w:val="1001"/>
        </w:numPr>
        <w:pStyle w:val="Compact"/>
      </w:pPr>
      <w:r>
        <w:rPr>
          <w:bCs/>
          <w:b/>
        </w:rPr>
        <w:t xml:space="preserve">Digital Integration:</w:t>
      </w:r>
      <w:r>
        <w:t xml:space="preserve">Given infrastructure limitations, the</w:t>
      </w:r>
      <w:r>
        <w:t xml:space="preserve"> </w:t>
      </w:r>
      <w:r>
        <w:t xml:space="preserve">Curriculum Developer</w:t>
      </w:r>
      <w:r>
        <w:t xml:space="preserve"> </w:t>
      </w:r>
      <w:r>
        <w:t xml:space="preserve">must design hybrid learning models. This includes creating offline-capable digital resources that can be distributed via USB drives or local servers in schools across</w:t>
      </w:r>
      <w:r>
        <w:t xml:space="preserve"> </w:t>
      </w:r>
      <w:hyperlink w:anchor="Xa39a3ee5e6b4b0d3255bfef95601890afd80709">
        <w:r>
          <w:rPr>
            <w:rStyle w:val="Hyperlink"/>
            <w:bCs/>
            <w:b/>
          </w:rPr>
          <w:t xml:space="preserve">Myanmar Yangon</w:t>
        </w:r>
      </w:hyperlink>
      <w:r>
        <w:t xml:space="preserve">.</w:t>
      </w:r>
    </w:p>
    <w:p>
      <w:pPr>
        <w:numPr>
          <w:ilvl w:val="0"/>
          <w:numId w:val="1001"/>
        </w:numPr>
        <w:pStyle w:val="Compact"/>
      </w:pPr>
      <w:r>
        <w:rPr>
          <w:bCs/>
          <w:b/>
        </w:rPr>
        <w:t xml:space="preserve">Skill-Based Adaptation:</w:t>
      </w:r>
      <w:r>
        <w:t xml:space="preserve">To address unemployment and economic instability, the</w:t>
      </w:r>
      <w:r>
        <w:t xml:space="preserve"> </w:t>
      </w:r>
      <w:r>
        <w:t xml:space="preserve">Curriculum Developer</w:t>
      </w:r>
      <w:r>
        <w:t xml:space="preserve"> </w:t>
      </w:r>
      <w:r>
        <w:t xml:space="preserve">focuses on vocational skills, critical thinking, and digital literacy. The curriculum is shifted from purely rote memorization to practical application.</w:t>
      </w:r>
    </w:p>
    <w:bookmarkEnd w:id="22"/>
    <w:bookmarkStart w:id="25" w:name="X07330fdf33cbd7c8f8118edc32cae056cd446e6"/>
    <w:p>
      <w:pPr>
        <w:pStyle w:val="Heading2"/>
      </w:pPr>
      <w:r>
        <w:t xml:space="preserve">4. Case Scenario: The "Future-Ready Yangon" Initiative</w:t>
      </w:r>
    </w:p>
    <w:p>
      <w:pPr>
        <w:pStyle w:val="FirstParagraph"/>
      </w:pPr>
      <w:r>
        <w:t xml:space="preserve">To illustrate the practical application of these principles, we examine the "Future-Ready Yangon" initiative, a pilot program designed by a team of</w:t>
      </w:r>
      <w:r>
        <w:t xml:space="preserve"> </w:t>
      </w:r>
      <w:r>
        <w:t xml:space="preserve">Curriculum Developer</w:t>
      </w:r>
      <w:r>
        <w:t xml:space="preserve">s working with local NGOs and international partners.</w:t>
      </w:r>
    </w:p>
    <w:bookmarkStart w:id="23" w:name="the-challenge"/>
    <w:p>
      <w:pPr>
        <w:pStyle w:val="Heading3"/>
      </w:pPr>
      <w:r>
        <w:t xml:space="preserve">4.1. The Challenge</w:t>
      </w:r>
    </w:p>
    <w:p>
      <w:pPr>
        <w:pStyle w:val="FirstParagraph"/>
      </w:pPr>
      <w:r>
        <w:t xml:space="preserve">Schools in</w:t>
      </w:r>
      <w:r>
        <w:t xml:space="preserve"> </w:t>
      </w:r>
      <w:hyperlink w:anchor="Xa39a3ee5e6b4b0d3255bfef95601890afd80709">
        <w:r>
          <w:rPr>
            <w:rStyle w:val="Hyperlink"/>
            <w:bCs/>
            <w:b/>
          </w:rPr>
          <w:t xml:space="preserve">Myanmar Yangon</w:t>
        </w:r>
      </w:hyperlink>
      <w:r>
        <w:t xml:space="preserve"> </w:t>
      </w:r>
      <w:r>
        <w:t xml:space="preserve">reported high rates of student disengagement and a mismatch between graduate skills and market needs. Traditional curricula were outdated, heavily theoretical, and inaccessible to students from lower-income backgrounds who lacked consistent internet access.</w:t>
      </w:r>
    </w:p>
    <w:bookmarkEnd w:id="23"/>
    <w:bookmarkStart w:id="24" w:name="the-strategy"/>
    <w:p>
      <w:pPr>
        <w:pStyle w:val="Heading3"/>
      </w:pPr>
      <w:r>
        <w:t xml:space="preserve">4.2. The Strategy</w:t>
      </w:r>
    </w:p>
    <w:p>
      <w:pPr>
        <w:pStyle w:val="FirstParagraph"/>
      </w:pPr>
      <w:r>
        <w:t xml:space="preserve">The</w:t>
      </w:r>
      <w:r>
        <w:t xml:space="preserve"> </w:t>
      </w:r>
      <w:r>
        <w:t xml:space="preserve">Curriculum Developer</w:t>
      </w:r>
      <w:r>
        <w:t xml:space="preserve">s adopted a modular approach:</w:t>
      </w:r>
    </w:p>
    <w:p>
      <w:pPr>
        <w:numPr>
          <w:ilvl w:val="0"/>
          <w:numId w:val="1002"/>
        </w:numPr>
        <w:pStyle w:val="Compact"/>
      </w:pPr>
      <w:r>
        <w:rPr>
          <w:bCs/>
          <w:b/>
        </w:rPr>
        <w:t xml:space="preserve">Pedagogical Review:</w:t>
      </w:r>
      <w:r>
        <w:t xml:space="preserve">An audit of existing materials to identify gaps in critical thinking and soft skills.</w:t>
      </w:r>
    </w:p>
    <w:p>
      <w:pPr>
        <w:numPr>
          <w:ilvl w:val="0"/>
          <w:numId w:val="1002"/>
        </w:numPr>
        <w:pStyle w:val="Compact"/>
      </w:pPr>
      <w:r>
        <w:rPr>
          <w:bCs/>
          <w:b/>
        </w:rPr>
        <w:t xml:space="preserve">Community Engagement:</w:t>
      </w:r>
      <w:r>
        <w:t xml:space="preserve">Involving parents, local employers, and teachers in</w:t>
      </w:r>
      <w:r>
        <w:t xml:space="preserve"> </w:t>
      </w:r>
      <w:r>
        <w:t xml:space="preserve">Myanmar Yangon</w:t>
      </w:r>
      <w:r>
        <w:t xml:space="preserve"> </w:t>
      </w:r>
      <w:r>
        <w:t xml:space="preserve">to co-create relevant learning objectives.</w:t>
      </w:r>
    </w:p>
    <w:p>
      <w:pPr>
        <w:numPr>
          <w:ilvl w:val="0"/>
          <w:numId w:val="1002"/>
        </w:numPr>
        <w:pStyle w:val="Compact"/>
      </w:pPr>
      <w:r>
        <w:rPr>
          <w:bCs/>
          <w:b/>
        </w:rPr>
        <w:t xml:space="preserve">Tech-Neutral Design:</w:t>
      </w:r>
      <w:r>
        <w:t xml:space="preserve">Crafting lessons that can be taught via face-to-face interaction or through low-bandwidth digital platforms. This was crucial for ensuring continuity in</w:t>
      </w:r>
      <w:r>
        <w:t xml:space="preserve"> </w:t>
      </w:r>
      <w:hyperlink w:anchor="Xa39a3ee5e6b4b0d3255bfef95601890afd80709">
        <w:r>
          <w:rPr>
            <w:rStyle w:val="Hyperlink"/>
            <w:bCs/>
            <w:b/>
          </w:rPr>
          <w:t xml:space="preserve">Myanmar Yangon</w:t>
        </w:r>
      </w:hyperlink>
      <w:r>
        <w:t xml:space="preserve"> </w:t>
      </w:r>
      <w:r>
        <w:t xml:space="preserve">during periods of connectivity instability.</w:t>
      </w:r>
    </w:p>
    <w:p>
      <w:pPr>
        <w:numPr>
          <w:ilvl w:val="0"/>
          <w:numId w:val="1002"/>
        </w:numPr>
        <w:pStyle w:val="Compact"/>
      </w:pPr>
      <w:r>
        <w:rPr>
          <w:bCs/>
          <w:b/>
        </w:rPr>
        <w:t xml:space="preserve">Bilingual Resources:</w:t>
      </w:r>
      <w:r>
        <w:t xml:space="preserve">Developing materials in both Burmese and English to enhance global competitiveness while maintaining linguistic accessibility.</w:t>
      </w:r>
    </w:p>
    <w:bookmarkEnd w:id="24"/>
    <w:bookmarkEnd w:id="25"/>
    <w:bookmarkStart w:id="26" w:name="implementation-and-challenges"/>
    <w:p>
      <w:pPr>
        <w:pStyle w:val="Heading2"/>
      </w:pPr>
      <w:r>
        <w:t xml:space="preserve">5. Implementation and Challenges</w:t>
      </w:r>
    </w:p>
    <w:p>
      <w:pPr>
        <w:pStyle w:val="FirstParagraph"/>
      </w:pPr>
      <w:r>
        <w:t xml:space="preserve">The implementation phase highlighted the complexities faced by any</w:t>
      </w:r>
      <w:r>
        <w:t xml:space="preserve"> </w:t>
      </w:r>
      <w:r>
        <w:t xml:space="preserve">Curriculum Developer</w:t>
      </w:r>
      <w:r>
        <w:t xml:space="preserve">. Resource constraints were significant. Many schools in</w:t>
      </w:r>
      <w:r>
        <w:t xml:space="preserve"> </w:t>
      </w:r>
      <w:hyperlink w:anchor="Xa39a3ee5e6b4b0d3255bfef95601890afd80709">
        <w:r>
          <w:rPr>
            <w:rStyle w:val="Hyperlink"/>
            <w:bCs/>
            <w:b/>
          </w:rPr>
          <w:t xml:space="preserve">Myanmar Yangon</w:t>
        </w:r>
      </w:hyperlink>
      <w:r>
        <w:t xml:space="preserve"> </w:t>
      </w:r>
      <w:r>
        <w:t xml:space="preserve">lacked basic technology, forcing the team to prioritize low-tech solutions. Additionally, teacher training became a bottleneck. The</w:t>
      </w:r>
      <w:r>
        <w:t xml:space="preserve"> </w:t>
      </w:r>
      <w:r>
        <w:t xml:space="preserve">Curriculum Developer</w:t>
      </w:r>
      <w:r>
        <w:t xml:space="preserve"> </w:t>
      </w:r>
      <w:r>
        <w:t xml:space="preserve">had to create extensive training manuals and conduct workshops to upskill educators in new pedagogical methods.</w:t>
      </w:r>
    </w:p>
    <w:p>
      <w:pPr>
        <w:pStyle w:val="BodyText"/>
      </w:pPr>
      <w:r>
        <w:t xml:space="preserve">Cultural resistance was another factor. Some stakeholders were hesitant to adopt Western-style collaborative learning methods. The</w:t>
      </w:r>
      <w:r>
        <w:t xml:space="preserve"> </w:t>
      </w:r>
      <w:r>
        <w:t xml:space="preserve">Curriculum Developer</w:t>
      </w:r>
      <w:r>
        <w:t xml:space="preserve">s addressed this by framing innovation as a means of preserving Myanmar’s heritage through modern economic empowerment, thereby gaining buy-in from conservative community leaders in</w:t>
      </w:r>
      <w:r>
        <w:t xml:space="preserve"> </w:t>
      </w:r>
      <w:hyperlink w:anchor="Xa39a3ee5e6b4b0d3255bfef95601890afd80709">
        <w:r>
          <w:rPr>
            <w:rStyle w:val="Hyperlink"/>
            <w:bCs/>
            <w:b/>
          </w:rPr>
          <w:t xml:space="preserve">Myanmar Yangon</w:t>
        </w:r>
      </w:hyperlink>
      <w:r>
        <w:t xml:space="preserve">.</w:t>
      </w:r>
    </w:p>
    <w:bookmarkEnd w:id="26"/>
    <w:bookmarkStart w:id="27" w:name="outcomes-and-impact"/>
    <w:p>
      <w:pPr>
        <w:pStyle w:val="Heading2"/>
      </w:pPr>
      <w:r>
        <w:t xml:space="preserve">6. Outcomes and Impact</w:t>
      </w:r>
    </w:p>
    <w:p>
      <w:pPr>
        <w:pStyle w:val="FirstParagraph"/>
      </w:pPr>
      <w:r>
        <w:t xml:space="preserve">After 18 months, the "Future-Ready Yangon" initiative demonstrated measurable success:</w:t>
      </w:r>
    </w:p>
    <w:p>
      <w:pPr>
        <w:numPr>
          <w:ilvl w:val="0"/>
          <w:numId w:val="1003"/>
        </w:numPr>
        <w:pStyle w:val="Compact"/>
      </w:pPr>
      <w:r>
        <w:rPr>
          <w:bCs/>
          <w:b/>
        </w:rPr>
        <w:t xml:space="preserve">Increased Engagement:</w:t>
      </w:r>
      <w:r>
        <w:t xml:space="preserve">Student attendance and participation in</w:t>
      </w:r>
      <w:r>
        <w:t xml:space="preserve"> </w:t>
      </w:r>
      <w:r>
        <w:t xml:space="preserve">Myanmar Yangon</w:t>
      </w:r>
      <w:r>
        <w:t xml:space="preserve">-based pilot schools increased by 25%.</w:t>
      </w:r>
    </w:p>
    <w:p>
      <w:pPr>
        <w:numPr>
          <w:ilvl w:val="0"/>
          <w:numId w:val="1003"/>
        </w:numPr>
        <w:pStyle w:val="Compact"/>
      </w:pPr>
      <w:r>
        <w:rPr>
          <w:bCs/>
          <w:b/>
        </w:rPr>
        <w:t xml:space="preserve">Skill Acquisition:</w:t>
      </w:r>
      <w:r>
        <w:t xml:space="preserve">Evaluations showed a marked improvement in critical thinking and digital literacy scores among students.</w:t>
      </w:r>
    </w:p>
    <w:p>
      <w:pPr>
        <w:numPr>
          <w:ilvl w:val="0"/>
          <w:numId w:val="1003"/>
        </w:numPr>
        <w:pStyle w:val="Compact"/>
      </w:pPr>
      <w:r>
        <w:rPr>
          <w:bCs/>
          <w:b/>
        </w:rPr>
        <w:t xml:space="preserve">Teacher Confidence:</w:t>
      </w:r>
      <w:r>
        <w:t xml:space="preserve">Educators reported higher satisfaction levels due to the flexible, modular nature of the curriculum developed by the</w:t>
      </w:r>
      <w:r>
        <w:t xml:space="preserve"> </w:t>
      </w:r>
      <w:r>
        <w:t xml:space="preserve">Curriculum Developer</w:t>
      </w:r>
      <w:r>
        <w:t xml:space="preserve">s.</w:t>
      </w:r>
    </w:p>
    <w:bookmarkEnd w:id="27"/>
    <w:bookmarkStart w:id="28" w:name="X276c2fd8839e5b04989eacc3bb94d0740d3acf3"/>
    <w:p>
      <w:pPr>
        <w:pStyle w:val="Heading2"/>
      </w:pPr>
      <w:r>
        <w:t xml:space="preserve">7. Lessons Learned for Curriculum Developers</w:t>
      </w:r>
    </w:p>
    <w:p>
      <w:pPr>
        <w:pStyle w:val="FirstParagraph"/>
      </w:pPr>
      <w:r>
        <w:t xml:space="preserve">This case study offers several key takeaways for professionals acting as a</w:t>
      </w:r>
      <w:r>
        <w:t xml:space="preserve"> </w:t>
      </w:r>
      <w:r>
        <w:t xml:space="preserve">Curriculum Developer</w:t>
      </w:r>
      <w:r>
        <w:t xml:space="preserve">:</w:t>
      </w:r>
    </w:p>
    <w:p>
      <w:pPr>
        <w:pStyle w:val="BodyText"/>
      </w:pPr>
      <w:r>
        <w:rPr>
          <w:bCs/>
          <w:b/>
        </w:rPr>
        <w:t xml:space="preserve">Audit the Infrastructure First:</w:t>
      </w:r>
      <w:r>
        <w:t xml:space="preserve">In places like</w:t>
      </w:r>
      <w:r>
        <w:t xml:space="preserve"> </w:t>
      </w:r>
      <w:hyperlink w:anchor="Xa39a3ee5e6b4b0d3255bfef95601890afd80709">
        <w:r>
          <w:rPr>
            <w:rStyle w:val="Hyperlink"/>
            <w:bCs/>
            <w:b/>
          </w:rPr>
          <w:t xml:space="preserve">Myanmar Yangon</w:t>
        </w:r>
      </w:hyperlink>
      <w:r>
        <w:t xml:space="preserve">, assuming high-tech solutions are viable is a common pitfall. Always design for the lowest common denominator of connectivity.</w:t>
      </w:r>
    </w:p>
    <w:p>
      <w:pPr>
        <w:pStyle w:val="BodyText"/>
      </w:pPr>
      <w:r>
        <w:rPr>
          <w:bCs/>
          <w:b/>
        </w:rPr>
        <w:t xml:space="preserve">Localize, Don't Just Translate:</w:t>
      </w:r>
      <w:r>
        <w:t xml:space="preserve">The role of the</w:t>
      </w:r>
      <w:r>
        <w:t xml:space="preserve"> </w:t>
      </w:r>
      <w:r>
        <w:t xml:space="preserve">Curriculum Developer</w:t>
      </w:r>
      <w:r>
        <w:t xml:space="preserve"> </w:t>
      </w:r>
      <w:r>
        <w:t xml:space="preserve">involves deep cultural sensitivity. Content must resonate with the lived experiences of students in</w:t>
      </w:r>
      <w:r>
        <w:t xml:space="preserve"> </w:t>
      </w:r>
      <w:hyperlink w:anchor="Xa39a3ee5e6b4b0d3255bfef95601890afd80709">
        <w:r>
          <w:rPr>
            <w:rStyle w:val="Hyperlink"/>
            <w:bCs/>
            <w:b/>
          </w:rPr>
          <w:t xml:space="preserve">Myanmar Yangon</w:t>
        </w:r>
      </w:hyperlink>
      <w:r>
        <w:t xml:space="preserve">.</w:t>
      </w:r>
    </w:p>
    <w:p>
      <w:pPr>
        <w:pStyle w:val="BodyText"/>
      </w:pPr>
      <w:r>
        <w:rPr>
          <w:bCs/>
          <w:b/>
        </w:rPr>
        <w:t xml:space="preserve">Build Resilience into the Framework:</w:t>
      </w:r>
      <w:r>
        <w:t xml:space="preserve">Educational plans must be flexible enough to adapt to political or economic disruptions without collapsing.</w:t>
      </w:r>
    </w:p>
    <w:bookmarkEnd w:id="28"/>
    <w:bookmarkStart w:id="29" w:name="conclusion"/>
    <w:p>
      <w:pPr>
        <w:pStyle w:val="Heading2"/>
      </w:pPr>
      <w:r>
        <w:t xml:space="preserve">8. Conclusion</w:t>
      </w:r>
    </w:p>
    <w:p>
      <w:pPr>
        <w:pStyle w:val="FirstParagraph"/>
      </w:pPr>
      <w:r>
        <w:t xml:space="preserve">The journey of educational reform in</w:t>
      </w:r>
      <w:r>
        <w:t xml:space="preserve"> </w:t>
      </w:r>
      <w:r>
        <w:t xml:space="preserve">Myanmar Yangon</w:t>
      </w:r>
      <w:r>
        <w:t xml:space="preserve"> </w:t>
      </w:r>
      <w:r>
        <w:t xml:space="preserve">is ongoing, but the role of the</w:t>
      </w:r>
      <w:r>
        <w:t xml:space="preserve"> </w:t>
      </w:r>
      <w:r>
        <w:t xml:space="preserve">Curriculum Developer</w:t>
      </w:r>
      <w:hyperlink w:anchor="Xa39a3ee5e6b4b0d3255bfef95601890afd80709">
        <w:r>
          <w:rPr>
            <w:rStyle w:val="Hyperlink"/>
            <w:bCs/>
            <w:b/>
          </w:rPr>
          <w:t xml:space="preserve">Myanmar Yangon</w:t>
        </w:r>
      </w:hyperlink>
      <w:r>
        <w:t xml:space="preserve"> </w:t>
      </w:r>
      <w:r>
        <w:t xml:space="preserve">is central to its success. By balancing global standards with local realities, leveraging technology judiciously, and engaging deeply with communities, educators can build a resilient system. This case study underscores that effective curriculum development is not merely about content creation; it is about crafting pathways for opportunity in the face of adversity.</w:t>
      </w:r>
    </w:p>
    <w:p>
      <w:pPr>
        <w:pStyle w:val="BodyText"/>
      </w:pPr>
      <w:r>
        <w:t xml:space="preserve">For stakeholders interested in further details regarding the implementation strategies used by</w:t>
      </w:r>
      <w:r>
        <w:t xml:space="preserve"> </w:t>
      </w:r>
      <w:r>
        <w:t xml:space="preserve">Curriculum Developer</w:t>
      </w:r>
      <w:r>
        <w:t xml:space="preserve">s in this region, please refer to our supplementary technical reports available on our platform. The future of education in</w:t>
      </w:r>
      <w:r>
        <w:t xml:space="preserve"> </w:t>
      </w:r>
      <w:hyperlink w:anchor="Xa39a3ee5e6b4b0d3255bfef95601890afd80709">
        <w:r>
          <w:rPr>
            <w:rStyle w:val="Hyperlink"/>
            <w:bCs/>
            <w:b/>
          </w:rPr>
          <w:t xml:space="preserve">Myanmar Yangon</w:t>
        </w:r>
      </w:hyperlink>
      <w:r>
        <w:t xml:space="preserve"> </w:t>
      </w:r>
      <w:r>
        <w:t xml:space="preserve">depends on innovative, empathetic, and strategic development practices.</w:t>
      </w:r>
    </w:p>
    <w:p>
      <w:pPr>
        <w:pStyle w:val="BodyText"/>
      </w:pPr>
      <w:r>
        <w:rPr>
          <w:iCs/>
          <w:i/>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Myanmar Yangon</dc:title>
  <dc:creator/>
  <cp:keywords/>
  <dcterms:created xsi:type="dcterms:W3CDTF">2026-07-29T07:08:34Z</dcterms:created>
  <dcterms:modified xsi:type="dcterms:W3CDTF">2026-07-29T07:08:34Z</dcterms:modified>
</cp:coreProperties>
</file>

<file path=docProps/custom.xml><?xml version="1.0" encoding="utf-8"?>
<Properties xmlns="http://schemas.openxmlformats.org/officeDocument/2006/custom-properties" xmlns:vt="http://schemas.openxmlformats.org/officeDocument/2006/docPropsVTypes"/>
</file>