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348d9b09d1900536953062928ff9446f72485bc"/>
    <w:p>
      <w:pPr>
        <w:pStyle w:val="Heading1"/>
      </w:pPr>
      <w:r>
        <w:t xml:space="preserve">Bridging Tradition and Innovation: A Curriculum Developer’s Journey in New Zealand Auckland</w:t>
      </w:r>
    </w:p>
    <w:p>
      <w:pPr>
        <w:pStyle w:val="FirstParagraph"/>
      </w:pPr>
      <w:r>
        <w:rPr>
          <w:bCs/>
          <w:b/>
        </w:rPr>
        <w:t xml:space="preserve">Date:</w:t>
      </w:r>
      <w:r>
        <w:t xml:space="preserve"> </w:t>
      </w:r>
      <w:r>
        <w:t xml:space="preserve">October 24, 2023</w:t>
      </w:r>
      <w:r>
        <w:br/>
      </w:r>
      <w:r>
        <w:rPr>
          <w:bCs/>
          <w:b/>
        </w:rPr>
        <w:t xml:space="preserve">Subject:</w:t>
      </w:r>
      <w:r>
        <w:t xml:space="preserve">A comprehensive case study examining the role of a Curriculum Developer within the educational landscape of New Zealand Auckland.</w:t>
      </w:r>
    </w:p>
    <w:bookmarkStart w:id="20" w:name="executive-summary"/>
    <w:p>
      <w:pPr>
        <w:pStyle w:val="Heading2"/>
      </w:pPr>
      <w:r>
        <w:t xml:space="preserve">Executive Summary</w:t>
      </w:r>
    </w:p>
    <w:p>
      <w:pPr>
        <w:pStyle w:val="FirstParagraph"/>
      </w:pPr>
      <w:r>
        <w:t xml:space="preserve">In the dynamic educational environment of New Zealand Auckland, schools are constantly evolving to meet the diverse needs of a multicultural student body. This Case Study explores the critical work of a Curriculum Developer based in this vibrant city. It details how strategic instructional design, when aligned with national frameworks and local community values, can significantly enhance student engagement and academic outcomes. By focusing on specific challenges unique to Auckland’s demographic diversity, this document illustrates best practices for curriculum innovation.</w:t>
      </w:r>
    </w:p>
    <w:bookmarkEnd w:id="20"/>
    <w:bookmarkStart w:id="21" w:name="X9eecf3db92cd374eb6aecf99ec721450a3bb6ea"/>
    <w:p>
      <w:pPr>
        <w:pStyle w:val="Heading2"/>
      </w:pPr>
      <w:r>
        <w:t xml:space="preserve">Background: The Educational Landscape of New Zealand Auckland</w:t>
      </w:r>
    </w:p>
    <w:p>
      <w:pPr>
        <w:pStyle w:val="FirstParagraph"/>
      </w:pPr>
      <w:r>
        <w:t xml:space="preserve">New Zealand possesses a robust educational system guided by the Ministry of Education, but it is in cities like New Zealand Auckland where the implementation of these guidelines faces its greatest complexities. As the largest urban center in New Zealand, Auckland is characterized by an extraordinary level of cultural and linguistic diversity. A significant portion of students come from Pasifika, Asian, and Māori backgrounds, while others are recent migrants or refugees.</w:t>
      </w:r>
    </w:p>
    <w:p>
      <w:pPr>
        <w:pStyle w:val="BodyText"/>
      </w:pPr>
      <w:r>
        <w:t xml:space="preserve">In this context, a Curriculum Developer cannot simply import standardized materials from other regions. They must act as a cultural broker and instructional architect simultaneously. The pressure to maintain high academic standards while ensuring that learning content is inclusive and relevant to the lived experiences of students in New Zealand Auckland is immense. This Case Study highlights how one such professional navigated these waters at a mid-sized secondary school in the North Shore region of New Zealand Auckland.</w:t>
      </w:r>
    </w:p>
    <w:bookmarkEnd w:id="21"/>
    <w:bookmarkStart w:id="22" w:name="X89551b05641ec7781fec6176f3c33fd7b9fb157"/>
    <w:p>
      <w:pPr>
        <w:pStyle w:val="Heading2"/>
      </w:pPr>
      <w:r>
        <w:t xml:space="preserve">The Challenge: Disconnect Between National Standards and Local Reality</w:t>
      </w:r>
    </w:p>
    <w:p>
      <w:pPr>
        <w:pStyle w:val="FirstParagraph"/>
      </w:pPr>
      <w:r>
        <w:t xml:space="preserve">The subject institution, let us refer to it as "Te Aho o te Pūtea College," faced a common but critical issue. While the school adhered to the New Zealand Curriculum (NZC), teachers reported that many resources felt disconnected from the students' realities. Science and Humanities modules, in particular, relied heavily on examples and contexts that did not resonate with the predominantly Pasifika and Southeast Asian student population.</w:t>
      </w:r>
    </w:p>
    <w:p>
      <w:pPr>
        <w:pStyle w:val="BodyText"/>
      </w:pPr>
      <w:r>
        <w:t xml:space="preserve">Furthermore, there was a lack of integration of Te Ao Māori (the Māori world) perspectives beyond surface-level acknowledgments. For a Curriculum Developer in New Zealand Auckland, the challenge was twofold: first, to align strictly with the National Standards for Literacy and Numeracy; and second, to weave these standards into a tapestry that honored local heritage and language.</w:t>
      </w:r>
    </w:p>
    <w:bookmarkEnd w:id="22"/>
    <w:bookmarkStart w:id="26" w:name="X6e6b74e5a314b9d1c1ed00e583478dfd0923aef"/>
    <w:p>
      <w:pPr>
        <w:pStyle w:val="Heading2"/>
      </w:pPr>
      <w:r>
        <w:t xml:space="preserve">The Intervention: A Culturally Responsive Approach</w:t>
      </w:r>
    </w:p>
    <w:p>
      <w:pPr>
        <w:pStyle w:val="FirstParagraph"/>
      </w:pPr>
      <w:r>
        <w:t xml:space="preserve">The Curriculum Developer implemented a phased intervention strategy. The first phase involved extensive consultation with the school community. In New Zealand Auckland, this meant engaging not just with faculty members, but also with Parents and Citizens’ Associations (PACs), local iwi (tribal) leaders, and community elders.</w:t>
      </w:r>
    </w:p>
    <w:bookmarkStart w:id="23" w:name="X032b05cb68672c3596b42c7481ea8e556b38afc"/>
    <w:p>
      <w:pPr>
        <w:pStyle w:val="Heading3"/>
      </w:pPr>
      <w:r>
        <w:t xml:space="preserve">Phase 1: Needs Analysis and Stakeholder Engagement</w:t>
      </w:r>
    </w:p>
    <w:p>
      <w:pPr>
        <w:pStyle w:val="FirstParagraph"/>
      </w:pPr>
      <w:r>
        <w:t xml:space="preserve">Surveys were conducted in multiple languages, including Samoan, Tongan, Mandarin, and Hindi. The feedback was clear: students wanted to see themselves reflected in the learning materials. They requested case studies that mirrored their own communities’ economic structures and environmental challenges.</w:t>
      </w:r>
    </w:p>
    <w:bookmarkEnd w:id="23"/>
    <w:bookmarkStart w:id="24" w:name="X52aa8de43c72d205c69018098358381fc346491"/>
    <w:p>
      <w:pPr>
        <w:pStyle w:val="Heading3"/>
      </w:pPr>
      <w:r>
        <w:t xml:space="preserve">Phase 2: Co-Construction of Learning Modules</w:t>
      </w:r>
    </w:p>
    <w:p>
      <w:pPr>
        <w:pStyle w:val="FirstParagraph"/>
      </w:pPr>
      <w:r>
        <w:t xml:space="preserve">The Curriculum Developer facilitated workshops where teachers co-designed units of work. Instead of traditional textbook approaches, they adopted a place-based learning model. For example, in the Science curriculum, instead of generic environmental studies, students analyzed the water quality and marine life specific to the harbors around New Zealand Auckland. This made abstract scientific concepts tangible and immediate.</w:t>
      </w:r>
    </w:p>
    <w:p>
      <w:pPr>
        <w:pStyle w:val="BodyText"/>
      </w:pPr>
      <w:r>
        <w:t xml:space="preserve">In Humanities, history lessons were restructured to include oral histories from local Māori iwi and Pasifika elders regarding urban migration patterns. This approach ensured that the curriculum was not only compliant with New Zealand educational standards but also deeply rooted in the social fabric of Auckland.</w:t>
      </w:r>
    </w:p>
    <w:bookmarkEnd w:id="24"/>
    <w:bookmarkStart w:id="25" w:name="Xa9289818026c10056adeebddac72f67869b84b6"/>
    <w:p>
      <w:pPr>
        <w:pStyle w:val="Heading3"/>
      </w:pPr>
      <w:r>
        <w:t xml:space="preserve">Phase 3: Integration of Digital and Multilingual Resources</w:t>
      </w:r>
    </w:p>
    <w:p>
      <w:pPr>
        <w:pStyle w:val="FirstParagraph"/>
      </w:pPr>
      <w:r>
        <w:t xml:space="preserve">Acknowledging the high digital literacy rates among youth in New Zealand Auckland, the Curriculum Developer introduced gamified learning modules. These digital tools allowed students to progress at their own pace while receiving immediate feedback. Moreover, key resources were translated into relevant home languages to support English as an Additional Language (EAL) learners, ensuring equitable access to knowledge.</w:t>
      </w:r>
    </w:p>
    <w:bookmarkEnd w:id="25"/>
    <w:bookmarkEnd w:id="26"/>
    <w:bookmarkStart w:id="27" w:name="outcomes-and-impact-assessment"/>
    <w:p>
      <w:pPr>
        <w:pStyle w:val="Heading2"/>
      </w:pPr>
      <w:r>
        <w:t xml:space="preserve">Outcomes and Impact Assessment</w:t>
      </w:r>
    </w:p>
    <w:p>
      <w:pPr>
        <w:pStyle w:val="FirstParagraph"/>
      </w:pPr>
      <w:r>
        <w:t xml:space="preserve">After two academic years of implementing these curriculum changes, the impact was measurable. Standardized test scores in literacy and numeracy increased by 15% across Year 9 and Year 10 cohorts. More importantly, qualitative data showed a significant rise in student engagement metrics.</w:t>
      </w:r>
    </w:p>
    <w:p>
      <w:pPr>
        <w:pStyle w:val="BodyText"/>
      </w:pPr>
      <w:r>
        <w:rPr>
          <w:bCs/>
          <w:b/>
        </w:rPr>
        <w:t xml:space="preserve">Key Statistic:</w:t>
      </w:r>
      <w:r>
        <w:t xml:space="preserve"> </w:t>
      </w:r>
      <w:r>
        <w:t xml:space="preserve">Attendance rates improved by 8%, and disciplinary incidents related to disengagement dropped by 30%. Teachers reported higher job satisfaction due to the renewed sense of purpose in their teaching materials.</w:t>
      </w:r>
    </w:p>
    <w:p>
      <w:pPr>
        <w:pStyle w:val="BodyText"/>
      </w:pPr>
      <w:r>
        <w:t xml:space="preserve">The success of this initiative was not merely academic; it fostered a stronger sense of community identity within the school. Students felt seen and heard, which translated into increased participation in extracurricular activities and leadership roles.</w:t>
      </w:r>
    </w:p>
    <w:bookmarkEnd w:id="27"/>
    <w:bookmarkStart w:id="28" w:name="Xd1bb75221ee33592fed508667510fa9df94165b"/>
    <w:p>
      <w:pPr>
        <w:pStyle w:val="Heading2"/>
      </w:pPr>
      <w:r>
        <w:t xml:space="preserve">Lessons Learned for Future Curriculum Developers</w:t>
      </w:r>
    </w:p>
    <w:p>
      <w:pPr>
        <w:pStyle w:val="FirstParagraph"/>
      </w:pPr>
      <w:r>
        <w:t xml:space="preserve">This Case Study offers several vital lessons for any Curriculum Developer operating in similar multicultural hubs:</w:t>
      </w:r>
    </w:p>
    <w:p>
      <w:pPr>
        <w:numPr>
          <w:ilvl w:val="0"/>
          <w:numId w:val="1001"/>
        </w:numPr>
        <w:pStyle w:val="Compact"/>
      </w:pPr>
      <w:r>
        <w:rPr>
          <w:bCs/>
          <w:b/>
        </w:rPr>
        <w:t xml:space="preserve">Local Context is King:</w:t>
      </w:r>
      <w:r>
        <w:t xml:space="preserve"> </w:t>
      </w:r>
      <w:r>
        <w:t xml:space="preserve">A one-size-fits-all approach fails in diverse cities like New Zealand Auckland. Development must be hyper-local.</w:t>
      </w:r>
    </w:p>
    <w:p>
      <w:pPr>
        <w:numPr>
          <w:ilvl w:val="0"/>
          <w:numId w:val="1001"/>
        </w:numPr>
        <w:pStyle w:val="Compact"/>
      </w:pPr>
      <w:r>
        <w:rPr>
          <w:bCs/>
          <w:b/>
        </w:rPr>
        <w:t xml:space="preserve">Collaborative Design:</w:t>
      </w:r>
      <w:r>
        <w:t xml:space="preserve">The Curriculum Developer should not work in isolation. True innovation comes from co-creation with teachers, students, and whānau (family).</w:t>
      </w:r>
    </w:p>
    <w:p>
      <w:pPr>
        <w:numPr>
          <w:ilvl w:val="0"/>
          <w:numId w:val="1001"/>
        </w:numPr>
        <w:pStyle w:val="Compact"/>
      </w:pPr>
      <w:r>
        <w:rPr>
          <w:bCs/>
          <w:b/>
        </w:rPr>
        <w:t xml:space="preserve">Balancing Act:</w:t>
      </w:r>
      <w:r>
        <w:t xml:space="preserve">Maintaining rigor while increasing inclusivity is possible but requires careful scaffolding of content.</w:t>
      </w:r>
    </w:p>
    <w:p>
      <w:pPr>
        <w:numPr>
          <w:ilvl w:val="0"/>
          <w:numId w:val="1001"/>
        </w:numPr>
        <w:pStyle w:val="Compact"/>
      </w:pPr>
      <w:r>
        <w:rPr>
          <w:bCs/>
          <w:b/>
        </w:rPr>
        <w:t xml:space="preserve">Cultural Humility:</w:t>
      </w:r>
      <w:r>
        <w:t xml:space="preserve">Educators must continuously educate themselves on the cultural nuances of the communities they serve in New Zealand Auckland.</w:t>
      </w:r>
    </w:p>
    <w:bookmarkEnd w:id="28"/>
    <w:bookmarkStart w:id="29" w:name="conclusion"/>
    <w:p>
      <w:pPr>
        <w:pStyle w:val="Heading2"/>
      </w:pPr>
      <w:r>
        <w:t xml:space="preserve">Conclusion</w:t>
      </w:r>
    </w:p>
    <w:p>
      <w:pPr>
        <w:pStyle w:val="FirstParagraph"/>
      </w:pPr>
      <w:r>
        <w:t xml:space="preserve">The role of a Curriculum Developer is pivotal in shaping the future generations. In New Zealand Auckland, this role carries an added responsibility of bridging cultural divides and fostering social cohesion through education. This Case Study demonstrates that when curriculum design respects local heritage while adhering to national standards, it unlocks potential that standardized methods often overlook.</w:t>
      </w:r>
    </w:p>
    <w:p>
      <w:pPr>
        <w:pStyle w:val="BodyText"/>
      </w:pPr>
      <w:r>
        <w:t xml:space="preserve">For educational institutions aiming to replicate this success in New Zealand Auckland or similar global contexts, the key lies in empathy, adaptability, and a willingness to listen. As Auckland continues to grow as a hub of innovation and diversity, its educators must remain agile creators of knowledge. The work done by Curriculum Developers in this region serves as a beacon for how modern education can be both globally competitive and locally relevant.</w:t>
      </w:r>
    </w:p>
    <w:p>
      <w:pPr>
        <w:pStyle w:val="BodyText"/>
      </w:pPr>
      <w:r>
        <w:t xml:space="preserve">Ultimately, the goal is not just academic achievement, but the cultivation of confident, culturally aware citizens ready to contribute to the vibrant society that is New Zealand Auckland.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New Zealand Auckland</dc:title>
  <dc:creator/>
  <dc:language>en</dc:language>
  <cp:keywords/>
  <dcterms:created xsi:type="dcterms:W3CDTF">2026-07-29T18:56:52Z</dcterms:created>
  <dcterms:modified xsi:type="dcterms:W3CDTF">2026-07-29T18:56:52Z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