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Qatar</w:t>
      </w:r>
      <w:r>
        <w:t xml:space="preserve"> </w:t>
      </w:r>
      <w:r>
        <w:t xml:space="preserve">Doha</w:t>
      </w:r>
    </w:p>
    <w:bookmarkStart w:id="31" w:name="X51f079125ad1fc8291150ffc6467d83acc2ea43"/>
    <w:p>
      <w:pPr>
        <w:pStyle w:val="Heading1"/>
      </w:pPr>
      <w:r>
        <w:t xml:space="preserve">Bridging Tradition and Innovation: A Case Study of a Senior Curriculum Developer in Qatar Doha</w:t>
      </w:r>
    </w:p>
    <w:p>
      <w:pPr>
        <w:pStyle w:val="FirstParagraph"/>
      </w:pPr>
      <w:r>
        <w:rPr>
          <w:bCs/>
          <w:b/>
        </w:rPr>
        <w:t xml:space="preserve">Date:</w:t>
      </w:r>
      <w:r>
        <w:t xml:space="preserve"> </w:t>
      </w:r>
      <w:r>
        <w:t xml:space="preserve">October 2023</w:t>
      </w:r>
      <w:r>
        <w:br/>
      </w:r>
      <w:r>
        <w:rPr>
          <w:bCs/>
          <w:b/>
        </w:rPr>
        <w:t xml:space="preserve">Location:</w:t>
      </w:r>
      <w:r>
        <w:t xml:space="preserve">Doha, State of Qatar</w:t>
      </w:r>
      <w:r>
        <w:br/>
      </w:r>
      <w:r>
        <w:rPr>
          <w:bCs/>
          <w:b/>
        </w:rPr>
        <w:t xml:space="preserve">Role Focus:</w:t>
      </w:r>
    </w:p>
    <w:bookmarkStart w:id="20" w:name="executive-summary"/>
    <w:p>
      <w:pPr>
        <w:pStyle w:val="Heading2"/>
      </w:pPr>
      <w:r>
        <w:t xml:space="preserve">1. Executive Summary</w:t>
      </w:r>
    </w:p>
    <w:p>
      <w:pPr>
        <w:pStyle w:val="FirstParagraph"/>
      </w:pPr>
      <w:r>
        <w:t xml:space="preserve">In the rapidly evolving educational landscape of the Gulf region, few cities offer as dynamic a testing ground for academic innovation as</w:t>
      </w:r>
      <w:r>
        <w:t xml:space="preserve"> </w:t>
      </w:r>
      <w:r>
        <w:rPr>
          <w:bCs/>
          <w:b/>
        </w:rPr>
        <w:t xml:space="preserve">Qatar Doha</w:t>
      </w:r>
      <w:r>
        <w:t xml:space="preserve">. This case study examines the critical role of a Curriculum Developer operating within this unique socio-economic environment. The primary objective was to design and implement an interdisciplinary STEM (Science, Technology, Engineering, and Mathematics) curriculum that aligns with Qatar National Vision 2030 while maintaining international accreditation standards. This document explores the challenges faced by the</w:t>
      </w:r>
      <w:r>
        <w:t xml:space="preserve"> </w:t>
      </w:r>
      <w:r>
        <w:rPr>
          <w:bCs/>
          <w:b/>
        </w:rPr>
        <w:t xml:space="preserve">Curriculum Developer</w:t>
      </w:r>
      <w:r>
        <w:t xml:space="preserve">, the strategic methodologies employed, and the tangible outcomes achieved in</w:t>
      </w:r>
      <w:r>
        <w:t xml:space="preserve"> </w:t>
      </w:r>
      <w:r>
        <w:rPr>
          <w:bCs/>
          <w:b/>
        </w:rPr>
        <w:t xml:space="preserve">Qatar Doha</w:t>
      </w:r>
      <w:r>
        <w:t xml:space="preserve">.</w:t>
      </w:r>
    </w:p>
    <w:bookmarkEnd w:id="20"/>
    <w:bookmarkStart w:id="21" w:name="X4d93d269a429b80d5cb6f4469a64fb928f92dc2"/>
    <w:p>
      <w:pPr>
        <w:pStyle w:val="Heading2"/>
      </w:pPr>
      <w:r>
        <w:t xml:space="preserve">2. Contextual Background: The Educational Landscape of Qatar Doha</w:t>
      </w:r>
    </w:p>
    <w:p>
      <w:pPr>
        <w:pStyle w:val="FirstParagraph"/>
      </w:pPr>
      <w:r>
        <w:rPr>
          <w:bCs/>
          <w:b/>
        </w:rPr>
        <w:t xml:space="preserve">Qatar Doha</w:t>
      </w:r>
      <w:r>
        <w:t xml:space="preserve"> </w:t>
      </w:r>
      <w:r>
        <w:t xml:space="preserve">stands as a hub for educational excellence, hosting branches of world-renowned universities and pioneering primary and secondary schools. The city is undergoing a significant transformation driven by the need to reduce reliance on hydrocarbon resources by investing heavily in human capital development. Consequently, the Ministry of Education and Higher Education has mandated rigorous reforms aimed at critical thinking, digital literacy, and global competitiveness.</w:t>
      </w:r>
    </w:p>
    <w:p>
      <w:pPr>
        <w:pStyle w:val="BodyText"/>
      </w:pPr>
      <w:r>
        <w:t xml:space="preserve">Within this framework, international schools in</w:t>
      </w:r>
      <w:r>
        <w:t xml:space="preserve"> </w:t>
      </w:r>
      <w:r>
        <w:rPr>
          <w:bCs/>
          <w:b/>
        </w:rPr>
        <w:t xml:space="preserve">Qatar Doha</w:t>
      </w:r>
      <w:r>
        <w:t xml:space="preserve"> </w:t>
      </w:r>
      <w:r>
        <w:t xml:space="preserve">face a dual mandate: they must deliver globally recognized curricula (such as IB or American Common Core) while simultaneously integrating local cultural values and Arabic language requirements. This creates a complex matrix for any professional involved in educational design.</w:t>
      </w:r>
    </w:p>
    <w:bookmarkEnd w:id="21"/>
    <w:bookmarkStart w:id="22" w:name="the-role-of-the-curriculum-developer"/>
    <w:p>
      <w:pPr>
        <w:pStyle w:val="Heading2"/>
      </w:pPr>
      <w:r>
        <w:t xml:space="preserve">3. The Role of the Curriculum Developer</w:t>
      </w:r>
    </w:p>
    <w:p>
      <w:pPr>
        <w:pStyle w:val="FirstParagraph"/>
      </w:pPr>
      <w:r>
        <w:t xml:space="preserve">The central figure in this narrative is the</w:t>
      </w:r>
      <w:r>
        <w:t xml:space="preserve"> </w:t>
      </w:r>
      <w:r>
        <w:rPr>
          <w:bCs/>
          <w:b/>
        </w:rPr>
        <w:t xml:space="preserve">Curriculum Developer</w:t>
      </w:r>
      <w:r>
        <w:t xml:space="preserve">. In the context of an international school located in</w:t>
      </w:r>
      <w:r>
        <w:t xml:space="preserve"> </w:t>
      </w:r>
      <w:r>
        <w:rPr>
          <w:bCs/>
          <w:b/>
        </w:rPr>
        <w:t xml:space="preserve">Qatar Doha</w:t>
      </w:r>
      <w:r>
        <w:t xml:space="preserve">, this role extends far beyond simple lesson planning. The developer acts as a bridge between global pedagogical trends and local cultural imperatives. Their responsibilities include:</w:t>
      </w:r>
    </w:p>
    <w:p>
      <w:pPr>
        <w:numPr>
          <w:ilvl w:val="0"/>
          <w:numId w:val="1001"/>
        </w:numPr>
        <w:pStyle w:val="Compact"/>
      </w:pPr>
      <w:r>
        <w:rPr>
          <w:bCs/>
          <w:b/>
        </w:rPr>
        <w:t xml:space="preserve">Cultural Localization:</w:t>
      </w:r>
      <w:r>
        <w:t xml:space="preserve"> </w:t>
      </w:r>
      <w:r>
        <w:t xml:space="preserve">Adapting international content to ensure it resonates with the Qatari identity.</w:t>
      </w:r>
    </w:p>
    <w:p>
      <w:pPr>
        <w:numPr>
          <w:ilvl w:val="0"/>
          <w:numId w:val="1001"/>
        </w:numPr>
        <w:pStyle w:val="Compact"/>
      </w:pPr>
      <w:r>
        <w:rPr>
          <w:bCs/>
          <w:b/>
        </w:rPr>
        <w:t xml:space="preserve">Vision Alignment:</w:t>
      </w:r>
    </w:p>
    <w:p>
      <w:pPr>
        <w:numPr>
          <w:ilvl w:val="0"/>
          <w:numId w:val="1001"/>
        </w:numPr>
        <w:pStyle w:val="Compact"/>
      </w:pPr>
      <w:r>
        <w:rPr>
          <w:bCs/>
          <w:b/>
        </w:rPr>
        <w:t xml:space="preserve">Pedagogical Innovation:</w:t>
      </w:r>
      <w:r>
        <w:t xml:space="preserve"> </w:t>
      </w:r>
      <w:r>
        <w:t xml:space="preserve">Incorporating technology-driven learning methods suitable for a highly digitized society.</w:t>
      </w:r>
    </w:p>
    <w:bookmarkEnd w:id="22"/>
    <w:bookmarkStart w:id="23" w:name="X37297afe33367f89a348753038c2eab89b9aa63"/>
    <w:p>
      <w:pPr>
        <w:pStyle w:val="Heading2"/>
      </w:pPr>
      <w:r>
        <w:t xml:space="preserve">4. The Challenge: Balancing Global Standards with Local Identity</w:t>
      </w:r>
    </w:p>
    <w:p>
      <w:pPr>
        <w:pStyle w:val="FirstParagraph"/>
      </w:pPr>
      <w:r>
        <w:t xml:space="preserve">The core challenge identified for the</w:t>
      </w:r>
      <w:r>
        <w:t xml:space="preserve"> </w:t>
      </w:r>
      <w:r>
        <w:rPr>
          <w:bCs/>
          <w:b/>
        </w:rPr>
        <w:t xml:space="preserve">Curriculum Developer</w:t>
      </w:r>
      <w:r>
        <w:t xml:space="preserve"> </w:t>
      </w:r>
      <w:r>
        <w:t xml:space="preserve">was the "Cultural Relevance Gap." Initial audits revealed that while students in Doha were achieving high marks in standardized international tests, they struggled to apply these concepts to local community problems. For instance, a unit on environmental science often used case studies from Western contexts that did not reflect the arid climate or specific sustainability challenges faced by</w:t>
      </w:r>
      <w:r>
        <w:t xml:space="preserve"> </w:t>
      </w:r>
      <w:r>
        <w:rPr>
          <w:bCs/>
          <w:b/>
        </w:rPr>
        <w:t xml:space="preserve">Qatar Doha</w:t>
      </w:r>
      <w:r>
        <w:t xml:space="preserve">.</w:t>
      </w:r>
    </w:p>
    <w:p>
      <w:pPr>
        <w:pStyle w:val="BodyText"/>
      </w:pPr>
      <w:r>
        <w:t xml:space="preserve">Furthermore, there was a tension between the fast-paced nature of international curricula and the need for depth in cultural and religious studies mandated by local regulations. The developer had to navigate these constraints without compromising academic rigor or student engagement.</w:t>
      </w:r>
    </w:p>
    <w:bookmarkEnd w:id="23"/>
    <w:bookmarkStart w:id="27" w:name="strategic-approach-and-methodology"/>
    <w:p>
      <w:pPr>
        <w:pStyle w:val="Heading2"/>
      </w:pPr>
      <w:r>
        <w:t xml:space="preserve">5. Strategic Approach and Methodology</w:t>
      </w:r>
    </w:p>
    <w:p>
      <w:pPr>
        <w:pStyle w:val="FirstParagraph"/>
      </w:pPr>
      <w:r>
        <w:t xml:space="preserve">To address these challenges, the</w:t>
      </w:r>
      <w:r>
        <w:t xml:space="preserve"> </w:t>
      </w:r>
      <w:r>
        <w:rPr>
          <w:bCs/>
          <w:b/>
        </w:rPr>
        <w:t xml:space="preserve">Curriculum Developer</w:t>
      </w:r>
      <w:r>
        <w:t xml:space="preserve"> </w:t>
      </w:r>
      <w:r>
        <w:t xml:space="preserve">adopted a "Glocalization" strategy—thinking globally but acting locally. The following steps were taken:</w:t>
      </w:r>
    </w:p>
    <w:bookmarkStart w:id="24" w:name="stakeholder-engagement-in-doha"/>
    <w:p>
      <w:pPr>
        <w:pStyle w:val="Heading3"/>
      </w:pPr>
      <w:r>
        <w:t xml:space="preserve">5.1 Stakeholder Engagement in Doha</w:t>
      </w:r>
    </w:p>
    <w:p>
      <w:pPr>
        <w:pStyle w:val="FirstParagraph"/>
      </w:pPr>
      <w:r>
        <w:t xml:space="preserve">The developer initiated extensive consultations with local experts, including architects from Hamad bin Khalifa University and leaders from the Qatar Science &amp; Technology Park. By engaging with industry leaders in</w:t>
      </w:r>
      <w:r>
        <w:t xml:space="preserve"> </w:t>
      </w:r>
      <w:r>
        <w:rPr>
          <w:bCs/>
          <w:b/>
        </w:rPr>
        <w:t xml:space="preserve">Qatar Doha</w:t>
      </w:r>
      <w:r>
        <w:t xml:space="preserve">, the curriculum could be aligned with real-world career pathways relevant to the Qatari job market.</w:t>
      </w:r>
    </w:p>
    <w:bookmarkEnd w:id="24"/>
    <w:bookmarkStart w:id="25" w:name="contextualized-stem-modules"/>
    <w:p>
      <w:pPr>
        <w:pStyle w:val="Heading3"/>
      </w:pPr>
      <w:r>
        <w:t xml:space="preserve">5.2 Contextualized STEM Modules</w:t>
      </w:r>
    </w:p>
    <w:p>
      <w:pPr>
        <w:pStyle w:val="FirstParagraph"/>
      </w:pPr>
      <w:r>
        <w:t xml:space="preserve">The developer redesigned specific units to focus on regional relevance. For example, in a Physics module regarding renewable energy, case studies were shifted from solar farms in California to the Sunflower Solar Power Station near Doha. In mathematics modules involving geometry and statistics, local architectural marvels like the Museum of Islamic Art were used as primary data sources for calculation and analysis.</w:t>
      </w:r>
    </w:p>
    <w:bookmarkEnd w:id="25"/>
    <w:bookmarkStart w:id="26" w:name="X64004038423b8d3bb906f060162b66e7b148836"/>
    <w:p>
      <w:pPr>
        <w:pStyle w:val="Heading3"/>
      </w:pPr>
      <w:r>
        <w:t xml:space="preserve">5.3 Integration of Arabic Language through Content</w:t>
      </w:r>
    </w:p>
    <w:p>
      <w:pPr>
        <w:pStyle w:val="FirstParagraph"/>
      </w:pPr>
      <w:r>
        <w:t xml:space="preserve">A significant portion of the development time was dedicated to cross-curricular planning with Arabic teachers. The developer ensured that scientific terminology in STEM subjects was taught alongside its Arabic equivalents, fostering bilingual proficiency which is a key asset for students remaining in or returning to</w:t>
      </w:r>
      <w:r>
        <w:t xml:space="preserve"> </w:t>
      </w:r>
      <w:r>
        <w:rPr>
          <w:bCs/>
          <w:b/>
        </w:rPr>
        <w:t xml:space="preserve">Qatar Doha</w:t>
      </w:r>
      <w:r>
        <w:t xml:space="preserve">.</w:t>
      </w:r>
    </w:p>
    <w:bookmarkEnd w:id="26"/>
    <w:bookmarkEnd w:id="27"/>
    <w:bookmarkStart w:id="28" w:name="implementation-and-challenges"/>
    <w:p>
      <w:pPr>
        <w:pStyle w:val="Heading2"/>
      </w:pPr>
      <w:r>
        <w:t xml:space="preserve">6. Implementation and Challenges</w:t>
      </w:r>
    </w:p>
    <w:p>
      <w:pPr>
        <w:pStyle w:val="FirstParagraph"/>
      </w:pPr>
      <w:r>
        <w:t xml:space="preserve">The rollout of the new curriculum was phased over two academic years. Initially, resistance was observed from some teaching staff who were accustomed to traditional Western-centric materials. The</w:t>
      </w:r>
      <w:r>
        <w:t xml:space="preserve"> </w:t>
      </w:r>
      <w:r>
        <w:rPr>
          <w:bCs/>
          <w:b/>
        </w:rPr>
        <w:t xml:space="preserve">Curriculum Developer</w:t>
      </w:r>
      <w:r>
        <w:t xml:space="preserve"> </w:t>
      </w:r>
      <w:r>
        <w:t xml:space="preserve">addressed this by providing comprehensive professional development workshops focused on the rationale behind the changes.</w:t>
      </w:r>
    </w:p>
    <w:p>
      <w:pPr>
        <w:pStyle w:val="BodyText"/>
      </w:pPr>
      <w:r>
        <w:t xml:space="preserve">Another challenge was resource availability. Sourcing high-quality, culturally appropriate digital assets in</w:t>
      </w:r>
      <w:r>
        <w:t xml:space="preserve"> </w:t>
      </w:r>
      <w:r>
        <w:rPr>
          <w:bCs/>
          <w:b/>
        </w:rPr>
        <w:t xml:space="preserve">Qatar Doha</w:t>
      </w:r>
      <w:r>
        <w:t xml:space="preserve">'s specific market required significant effort. The developer had to collaborate with local publishers and tech firms to create bespoke learning modules, a process that tested the limits of project management skills but ultimately resulted in proprietary educational resources unique to the region.</w:t>
      </w:r>
    </w:p>
    <w:bookmarkEnd w:id="28"/>
    <w:bookmarkStart w:id="29" w:name="results-and-outcomes"/>
    <w:p>
      <w:pPr>
        <w:pStyle w:val="Heading2"/>
      </w:pPr>
      <w:r>
        <w:t xml:space="preserve">7. Results and Outcomes</w:t>
      </w:r>
    </w:p>
    <w:p>
      <w:pPr>
        <w:pStyle w:val="FirstParagraph"/>
      </w:pPr>
      <w:r>
        <w:t xml:space="preserve">Post-implementation data from the end of the second academic year demonstrated significant improvements:</w:t>
      </w:r>
    </w:p>
    <w:p>
      <w:pPr>
        <w:numPr>
          <w:ilvl w:val="0"/>
          <w:numId w:val="1002"/>
        </w:numPr>
        <w:pStyle w:val="Compact"/>
      </w:pPr>
      <w:r>
        <w:rPr>
          <w:bCs/>
          <w:b/>
        </w:rPr>
        <w:t xml:space="preserve">User Engagement:</w:t>
      </w:r>
      <w:r>
        <w:t xml:space="preserve"> </w:t>
      </w:r>
      <w:r>
        <w:t xml:space="preserve">Qatar Doha.</w:t>
      </w:r>
    </w:p>
    <w:p>
      <w:pPr>
        <w:numPr>
          <w:ilvl w:val="0"/>
          <w:numId w:val="1002"/>
        </w:numPr>
        <w:pStyle w:val="Compact"/>
      </w:pPr>
      <w:r>
        <w:rPr>
          <w:bCs/>
          <w:b/>
        </w:rPr>
        <w:t xml:space="preserve">Cultural Confidence:</w:t>
      </w:r>
      <w:r>
        <w:t xml:space="preserve"> </w:t>
      </w:r>
      <w:r>
        <w:t xml:space="preserve">Students demonstrated improved ability to articulate the contribution of Islamic Golden Age scientists to modern STEM fields, bridging historical knowledge with contemporary learning.</w:t>
      </w:r>
    </w:p>
    <w:p>
      <w:pPr>
        <w:numPr>
          <w:ilvl w:val="0"/>
          <w:numId w:val="1002"/>
        </w:numPr>
        <w:pStyle w:val="Compact"/>
      </w:pPr>
      <w:r>
        <w:t xml:space="preserve">Academic Performance:Passthrough rates for international examinations remained stable at 98%, proving that localization did not detract from global academic standards.</w:t>
      </w:r>
    </w:p>
    <w:bookmarkEnd w:id="29"/>
    <w:bookmarkStart w:id="30" w:name="conclusion"/>
    <w:p>
      <w:pPr>
        <w:pStyle w:val="Heading2"/>
      </w:pPr>
      <w:r>
        <w:t xml:space="preserve">8. Conclusion</w:t>
      </w:r>
    </w:p>
    <w:p>
      <w:pPr>
        <w:pStyle w:val="FirstParagraph"/>
      </w:pPr>
      <w:r>
        <w:t xml:space="preserve">This case study underscores the complexity and importance of the</w:t>
      </w:r>
      <w:r>
        <w:t xml:space="preserve"> </w:t>
      </w:r>
      <w:r>
        <w:rPr>
          <w:bCs/>
          <w:b/>
        </w:rPr>
        <w:t xml:space="preserve">Curriculum Developer</w:t>
      </w:r>
      <w:r>
        <w:t xml:space="preserve">'s role in a multicultural, high-ambition environment like</w:t>
      </w:r>
      <w:r>
        <w:t xml:space="preserve"> </w:t>
      </w:r>
      <w:r>
        <w:rPr>
          <w:bCs/>
          <w:b/>
        </w:rPr>
        <w:t xml:space="preserve">Qatar Doha</w:t>
      </w:r>
      <w:r>
        <w:t xml:space="preserve">. It is evident that successful curriculum design in this region cannot be a simple copy-paste of Western models. Instead, it requires a nuanced approach that respects local heritage while embracing global innovation.</w:t>
      </w:r>
    </w:p>
    <w:p>
      <w:pPr>
        <w:pStyle w:val="BodyText"/>
      </w:pPr>
      <w:r>
        <w:t xml:space="preserve">The experience in</w:t>
      </w:r>
      <w:r>
        <w:t xml:space="preserve"> </w:t>
      </w:r>
      <w:r>
        <w:rPr>
          <w:bCs/>
          <w:b/>
        </w:rPr>
        <w:t xml:space="preserve">Qatar Doha</w:t>
      </w:r>
      <w:r>
        <w:t xml:space="preserve"> </w:t>
      </w:r>
      <w:r>
        <w:t xml:space="preserve">serves as a model for other emerging educational hubs in the Middle East. It highlights that when curriculum development is deeply rooted in community context and aligned with national visions, it not only enhances academic outcomes but also fosters a generation of students who are globally competent yet locally proud. For institutions aiming to thrive in</w:t>
      </w:r>
      <w:r>
        <w:t xml:space="preserve"> </w:t>
      </w:r>
      <w:r>
        <w:rPr>
          <w:bCs/>
          <w:b/>
        </w:rPr>
        <w:t xml:space="preserve">Qatar Doha</w:t>
      </w:r>
      <w:r>
        <w:t xml:space="preserve">, investing in specialized curriculum expertise is not merely an administrative task; it is a strategic imperative for future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Qatar Doha</dc:title>
  <dc:creator/>
  <dc:language>en</dc:language>
  <cp:keywords/>
  <dcterms:created xsi:type="dcterms:W3CDTF">2026-07-30T00:06:05Z</dcterms:created>
  <dcterms:modified xsi:type="dcterms:W3CDTF">2026-07-30T00:06:05Z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