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Curriculum</w:t>
      </w:r>
      <w:r>
        <w:t xml:space="preserve"> </w:t>
      </w:r>
      <w:r>
        <w:t xml:space="preserve">Development</w:t>
      </w:r>
      <w:r>
        <w:t xml:space="preserve"> </w:t>
      </w:r>
      <w:r>
        <w:t xml:space="preserve">in</w:t>
      </w:r>
      <w:r>
        <w:t xml:space="preserve"> </w:t>
      </w:r>
      <w:r>
        <w:t xml:space="preserve">Spain</w:t>
      </w:r>
      <w:r>
        <w:t xml:space="preserve"> </w:t>
      </w:r>
      <w:r>
        <w:t xml:space="preserve">Madrid</w:t>
      </w:r>
    </w:p>
    <w:bookmarkStart w:id="31" w:name="X1086a45fe5ed452b0edcfc1a4ba583463ac8815"/>
    <w:p>
      <w:pPr>
        <w:pStyle w:val="Heading1"/>
      </w:pPr>
      <w:r>
        <w:t xml:space="preserve">Case Study: Strategic Curriculum Development for Educational Excellence in Spain Madrid</w:t>
      </w:r>
    </w:p>
    <w:bookmarkStart w:id="20" w:name="executive-summary"/>
    <w:p>
      <w:pPr>
        <w:pStyle w:val="Heading2"/>
      </w:pPr>
      <w:r>
        <w:t xml:space="preserve">Executive Summary</w:t>
      </w:r>
    </w:p>
    <w:p>
      <w:pPr>
        <w:pStyle w:val="FirstParagraph"/>
      </w:pPr>
      <w:r>
        <w:t xml:space="preserve">In the rapidly evolving landscape of modern education, the role of a</w:t>
      </w:r>
    </w:p>
    <w:p>
      <w:pPr>
        <w:pStyle w:val="BodyText"/>
      </w:pPr>
      <w:r>
        <w:t xml:space="preserve">  is not merely administrative but fundamentally strategic. This case study explores the critical interventions undertaken by a lead</w:t>
      </w:r>
    </w:p>
    <w:p>
      <w:pPr>
        <w:pStyle w:val="BodyText"/>
      </w:pPr>
      <w:hyperlink w:anchor="Xa39a3ee5e6b4b0d3255bfef95601890afd80709">
        <w:r>
          <w:rPr>
            <w:rStyle w:val="Hyperlink"/>
          </w:rPr>
          <w:t xml:space="preserve">Curriculum Developer</w:t>
        </w:r>
      </w:hyperlink>
      <w:r>
        <w:t xml:space="preserve"> </w:t>
      </w:r>
      <w:r>
        <w:t xml:space="preserve">in Spain Madrid to revitalize secondary school STEM (Science, Technology, Engineering, and Mathematics) programs. The objective was to align local educational practices with both national Spanish mandates and global best practices, ensuring that students in the capital region are equipped for future economic challenges. This document details the challenges faced by a</w:t>
      </w:r>
    </w:p>
    <w:p>
      <w:pPr>
        <w:pStyle w:val="BodyText"/>
      </w:pPr>
      <w:r>
        <w:t xml:space="preserve">  operating within the complex regulatory framework of</w:t>
      </w:r>
      <w:r>
        <w:t xml:space="preserve"> </w:t>
      </w:r>
      <w:r>
        <w:rPr>
          <w:bCs/>
          <w:b/>
        </w:rPr>
        <w:t xml:space="preserve">Spain Madrid</w:t>
      </w:r>
      <w:r>
        <w:t xml:space="preserve">, and highlights how effective curriculum design can bridge gaps between policy, pedagogy, and student outcomes.</w:t>
      </w:r>
    </w:p>
    <w:bookmarkEnd w:id="20"/>
    <w:bookmarkStart w:id="21" w:name="Xd7bd00c45279cc126a2c2793b16e37011d1d66c"/>
    <w:p>
      <w:pPr>
        <w:pStyle w:val="Heading2"/>
      </w:pPr>
      <w:r>
        <w:t xml:space="preserve">Background Context: The Educational Landscape in Spain Madrid</w:t>
      </w:r>
    </w:p>
    <w:p>
      <w:pPr>
        <w:pStyle w:val="FirstParagraph"/>
      </w:pPr>
      <w:r>
        <w:t xml:space="preserve">Madrid serves as a microcosm of the broader educational dynamics in Spain. As the capital city, it presents unique challenges regarding demographic diversity, resource allocation, and cultural integration. The local education system is governed by a combination of national laws established by the Ministry of Education and Vocational Training (MEFP) and autonomous regulations set by the Community of Madrid’s Department of Education.</w:t>
      </w:r>
    </w:p>
    <w:p>
      <w:pPr>
        <w:pStyle w:val="BodyText"/>
      </w:pPr>
      <w:r>
        <w:t xml:space="preserve">For any</w:t>
      </w:r>
    </w:p>
    <w:p>
      <w:pPr>
        <w:pStyle w:val="BodyText"/>
      </w:pPr>
      <w:r>
        <w:t xml:space="preserve">  working in this region, understanding these dual layers is paramount. The recent implementation of the new Organic Law for the Improvement of Quality and Equity (LOMCE revisions) has placed increased emphasis on competencies rather than mere content memorization. Furthermore,</w:t>
      </w:r>
      <w:r>
        <w:t xml:space="preserve"> </w:t>
      </w:r>
      <w:r>
        <w:rPr>
          <w:bCs/>
          <w:b/>
        </w:rPr>
        <w:t xml:space="preserve">Spain Madrid</w:t>
      </w:r>
      <w:r>
        <w:t xml:space="preserve"> </w:t>
      </w:r>
      <w:r>
        <w:t xml:space="preserve">faces specific socio-economic pressures, including a significant immigrant population that requires differentiated instructional strategies and curriculum flexibility to ensure equitable access to knowledge.</w:t>
      </w:r>
    </w:p>
    <w:bookmarkEnd w:id="21"/>
    <w:bookmarkStart w:id="22" w:name="X04978ecee504d6b8e550b147e7254548089595a"/>
    <w:p>
      <w:pPr>
        <w:pStyle w:val="Heading2"/>
      </w:pPr>
      <w:r>
        <w:t xml:space="preserve">The Challenge: Bridging the Gap Between Policy and Practice</w:t>
      </w:r>
    </w:p>
    <w:p>
      <w:pPr>
        <w:pStyle w:val="FirstParagraph"/>
      </w:pPr>
      <w:r>
        <w:t xml:space="preserve">In 2019, a consortium of five high-performing secondary schools in central</w:t>
      </w:r>
      <w:r>
        <w:t xml:space="preserve"> </w:t>
      </w:r>
      <w:r>
        <w:rPr>
          <w:bCs/>
          <w:b/>
        </w:rPr>
        <w:t xml:space="preserve">Spain Madrid</w:t>
      </w:r>
      <w:r>
        <w:t xml:space="preserve"> </w:t>
      </w:r>
      <w:r>
        <w:t xml:space="preserve">approached a team of experts including a senior</w:t>
      </w:r>
    </w:p>
    <w:p>
      <w:pPr>
        <w:pStyle w:val="BodyText"/>
      </w:pPr>
      <w:hyperlink w:anchor="Xa39a3ee5e6b4b0d3255bfef95601890afd80709">
        <w:r>
          <w:rPr>
            <w:rStyle w:val="Hyperlink"/>
          </w:rPr>
          <w:t xml:space="preserve">Curriculum Developer</w:t>
        </w:r>
      </w:hyperlink>
      <w:r>
        <w:t xml:space="preserve">. The primary issue was identified as "competency disconnect."</w:t>
      </w:r>
    </w:p>
    <w:p>
      <w:pPr>
        <w:pStyle w:val="BodyText"/>
      </w:pPr>
      <w:r>
        <w:t xml:space="preserve">  While teachers were proficient in delivering content, student engagement had plummeted, and standardized test scores in applied sciences were stagnating. The existing curriculum was heavily theoretical, lacking practical application relevant to the modern job market.</w:t>
      </w:r>
    </w:p>
    <w:p>
      <w:pPr>
        <w:pStyle w:val="BodyText"/>
      </w:pPr>
      <w:r>
        <w:t xml:space="preserve">The</w:t>
      </w:r>
    </w:p>
    <w:p>
      <w:pPr>
        <w:pStyle w:val="BodyText"/>
      </w:pPr>
      <w:r>
        <w:t xml:space="preserve">  task was to redesign the STEM curriculum framework over an 18-month period. This involved:</w:t>
      </w:r>
    </w:p>
    <w:p>
      <w:pPr>
        <w:numPr>
          <w:ilvl w:val="0"/>
          <w:numId w:val="1001"/>
        </w:numPr>
        <w:pStyle w:val="Compact"/>
      </w:pPr>
      <w:r>
        <w:t xml:space="preserve">Auditing current pedagogical methods against European Credit Transfer and Accumulation System (ECTS) standards.</w:t>
      </w:r>
    </w:p>
    <w:p>
      <w:pPr>
        <w:numPr>
          <w:ilvl w:val="0"/>
          <w:numId w:val="1001"/>
        </w:numPr>
        <w:pStyle w:val="Compact"/>
      </w:pPr>
      <w:r>
        <w:t xml:space="preserve">Integrating digital literacy tools mandated by the Community of Madrid’s digital education plan.</w:t>
      </w:r>
    </w:p>
    <w:p>
      <w:pPr>
        <w:numPr>
          <w:ilvl w:val="0"/>
          <w:numId w:val="1001"/>
        </w:numPr>
        <w:pStyle w:val="Compact"/>
      </w:pPr>
      <w:r>
        <w:t xml:space="preserve">Navigating the strict approval processes required by local educational authorities in Madrid to ensure compliance with regional statutes.</w:t>
      </w:r>
    </w:p>
    <w:bookmarkEnd w:id="22"/>
    <w:bookmarkStart w:id="26" w:name="X80d1d2bbfc8b3da0f99c929227fcdd8fe0de389"/>
    <w:p>
      <w:pPr>
        <w:pStyle w:val="Heading2"/>
      </w:pPr>
      <w:r>
        <w:t xml:space="preserve">The Role of the Curriculum Developer in Spain Madrid</w:t>
      </w:r>
    </w:p>
    <w:p>
      <w:pPr>
        <w:pStyle w:val="FirstParagraph"/>
      </w:pPr>
      <w:r>
        <w:t xml:space="preserve">The position of a</w:t>
      </w:r>
    </w:p>
    <w:p>
      <w:pPr>
        <w:pStyle w:val="BodyText"/>
      </w:pPr>
      <w:r>
        <w:t xml:space="preserve">  in this context extends far beyond writing syllabi. It requires diplomatic skill, pedagogical expertise, and regulatory acumen.</w:t>
      </w:r>
    </w:p>
    <w:bookmarkStart w:id="23" w:name="regulatory-compliance-and-localization"/>
    <w:p>
      <w:pPr>
        <w:pStyle w:val="Heading3"/>
      </w:pPr>
      <w:r>
        <w:t xml:space="preserve">1. Regulatory Compliance and Localization</w:t>
      </w:r>
    </w:p>
    <w:p>
      <w:pPr>
        <w:pStyle w:val="FirstParagraph"/>
      </w:pPr>
      <w:r>
        <w:t xml:space="preserve">A</w:t>
      </w:r>
    </w:p>
    <w:p>
      <w:pPr>
        <w:pStyle w:val="BodyText"/>
      </w:pPr>
      <w:r>
        <w:t xml:space="preserve">  must first ensure that all proposed changes align with the "Currículo Oficial" published by the regional government. In</w:t>
      </w:r>
      <w:r>
        <w:t xml:space="preserve"> </w:t>
      </w:r>
      <w:r>
        <w:rPr>
          <w:bCs/>
          <w:b/>
        </w:rPr>
        <w:t xml:space="preserve">Spain Madrid</w:t>
      </w:r>
      <w:r>
        <w:t xml:space="preserve">, this means adhering to specific hour allocations for subjects and mandatory cross-curricular competencies (such as digital competence and personal, social, and learning to learn). The developer worked closely with legal advisors in Madrid to ensure that new project-based learning modules did not violate statutory requirements for core subject contact hours.</w:t>
      </w:r>
    </w:p>
    <w:bookmarkEnd w:id="23"/>
    <w:bookmarkStart w:id="24" w:name="stakeholder-engagement"/>
    <w:p>
      <w:pPr>
        <w:pStyle w:val="Heading3"/>
      </w:pPr>
      <w:r>
        <w:t xml:space="preserve">2. Stakeholder Engagement</w:t>
      </w:r>
    </w:p>
    <w:p>
      <w:pPr>
        <w:pStyle w:val="FirstParagraph"/>
      </w:pPr>
      <w:r>
        <w:t xml:space="preserve">The</w:t>
      </w:r>
    </w:p>
    <w:p>
      <w:pPr>
        <w:pStyle w:val="BodyText"/>
      </w:pPr>
      <w:hyperlink w:anchor="Xa39a3ee5e6b4b0d3255bfef95601890afd80709">
        <w:r>
          <w:rPr>
            <w:rStyle w:val="Hyperlink"/>
          </w:rPr>
          <w:t xml:space="preserve">Curriculum Developer</w:t>
        </w:r>
      </w:hyperlink>
      <w:r>
        <w:t xml:space="preserve">. engaged teachers, parents, and local industry partners. In a multicultural city like Madrid, this step was crucial. The developer organized workshops in various neighborhoods of the city to gather input from families with diverse linguistic backgrounds.  This inclusive approach ensured that the new curriculum respected local cultural contexts while promoting universal competencies. Teachers expressed initial resistance to changing their long-standing methods, requiring the</w:t>
      </w:r>
    </w:p>
    <w:p>
      <w:pPr>
        <w:pStyle w:val="BodyText"/>
      </w:pPr>
      <w:r>
        <w:t xml:space="preserve">  to facilitate change management strategies that emphasized peer-led training and gradual implementation.</w:t>
      </w:r>
    </w:p>
    <w:bookmarkEnd w:id="24"/>
    <w:bookmarkStart w:id="25" w:name="designing-for-competency-based-learning"/>
    <w:p>
      <w:pPr>
        <w:pStyle w:val="Heading3"/>
      </w:pPr>
      <w:r>
        <w:t xml:space="preserve">3. Designing for Competency-Based Learning</w:t>
      </w:r>
    </w:p>
    <w:p>
      <w:pPr>
        <w:pStyle w:val="FirstParagraph"/>
      </w:pPr>
      <w:r>
        <w:t xml:space="preserve">The core deliverable was a new competency-based framework. The</w:t>
      </w:r>
    </w:p>
    <w:p>
      <w:pPr>
        <w:pStyle w:val="BodyText"/>
      </w:pPr>
      <w:hyperlink w:anchor="Xa39a3ee5e6b4b0d3255bfef95601890afd80709">
        <w:r>
          <w:rPr>
            <w:rStyle w:val="Hyperlink"/>
          </w:rPr>
          <w:t xml:space="preserve">Curriculum Developer</w:t>
        </w:r>
      </w:hyperlink>
      <w:r>
        <w:t xml:space="preserve">. shifted the focus from "what students know" to "what students can do."  This involved creating modular units where science, math, and technology were taught through real-world problems relevant to Madrid’s urban environment. For example, a unit on environmental science utilized local data from the Madrid city council regarding air quality in the Manzanares River basin.</w:t>
      </w:r>
    </w:p>
    <w:bookmarkEnd w:id="25"/>
    <w:bookmarkEnd w:id="26"/>
    <w:bookmarkStart w:id="27" w:name="implementation-strategy"/>
    <w:p>
      <w:pPr>
        <w:pStyle w:val="Heading2"/>
      </w:pPr>
      <w:r>
        <w:t xml:space="preserve">Implementation Strategy</w:t>
      </w:r>
    </w:p>
    <w:p>
      <w:pPr>
        <w:pStyle w:val="FirstParagraph"/>
      </w:pPr>
      <w:r>
        <w:t xml:space="preserve">The rollout was phased to minimize disruption:</w:t>
      </w:r>
    </w:p>
    <w:p>
      <w:pPr>
        <w:numPr>
          <w:ilvl w:val="0"/>
          <w:numId w:val="1002"/>
        </w:numPr>
        <w:pStyle w:val="Compact"/>
      </w:pPr>
      <w:r>
        <w:rPr>
          <w:bCs/>
          <w:b/>
        </w:rPr>
        <w:t xml:space="preserve">Pilot Phase (Months 1-6):</w:t>
      </w:r>
      <w:r>
        <w:t xml:space="preserve">  The new curriculum was tested in three selected classrooms. The</w:t>
      </w:r>
    </w:p>
    <w:p>
      <w:pPr>
        <w:numPr>
          <w:ilvl w:val="0"/>
          <w:numId w:val="1000"/>
        </w:numPr>
        <w:pStyle w:val="Compact"/>
      </w:pPr>
      <w:r>
        <w:t xml:space="preserve">  collected qualitative and quantitative data, including student feedback and teacher observations.</w:t>
      </w:r>
    </w:p>
    <w:p>
      <w:pPr>
        <w:numPr>
          <w:ilvl w:val="0"/>
          <w:numId w:val="1002"/>
        </w:numPr>
        <w:pStyle w:val="Compact"/>
      </w:pPr>
      <w:r>
        <w:rPr>
          <w:bCs/>
          <w:b/>
        </w:rPr>
        <w:t xml:space="preserve">Refinement Phase (Months 7-12):  </w:t>
      </w:r>
      <w:r>
        <w:t xml:space="preserve">Based on pilot data, the</w:t>
      </w:r>
    </w:p>
    <w:p>
      <w:pPr>
        <w:numPr>
          <w:ilvl w:val="0"/>
          <w:numId w:val="1000"/>
        </w:numPr>
        <w:pStyle w:val="Compact"/>
      </w:pPr>
      <w:hyperlink w:anchor="Xa39a3ee5e6b4b0d3255bfef95601890afd80709">
        <w:r>
          <w:rPr>
            <w:rStyle w:val="Hyperlink"/>
          </w:rPr>
          <w:t xml:space="preserve">Curriculum Developer</w:t>
        </w:r>
      </w:hyperlink>
      <w:r>
        <w:t xml:space="preserve">. adjusted pacing guides and resource allocations. In Madrid, this phase also involved securing additional funding from regional grants for technology integration. </w:t>
      </w:r>
    </w:p>
    <w:p>
      <w:pPr>
        <w:numPr>
          <w:ilvl w:val="0"/>
          <w:numId w:val="1002"/>
        </w:numPr>
        <w:pStyle w:val="Compact"/>
      </w:pPr>
      <w:r>
        <w:rPr>
          <w:bCs/>
          <w:b/>
        </w:rPr>
        <w:t xml:space="preserve">Full Scale Deployment (Months 13-18):  </w:t>
      </w:r>
      <w:r>
        <w:t xml:space="preserve">Training sessions were held across all five schools. The</w:t>
      </w:r>
    </w:p>
    <w:p>
      <w:pPr>
        <w:numPr>
          <w:ilvl w:val="0"/>
          <w:numId w:val="1000"/>
        </w:numPr>
        <w:pStyle w:val="Compact"/>
      </w:pPr>
      <w:r>
        <w:t xml:space="preserve">  provided ongoing coaching support to ensure fidelity to the new model.</w:t>
      </w:r>
    </w:p>
    <w:bookmarkEnd w:id="27"/>
    <w:bookmarkStart w:id="28" w:name="outcomes-and-impact-assessment"/>
    <w:p>
      <w:pPr>
        <w:pStyle w:val="Heading2"/>
      </w:pPr>
      <w:r>
        <w:t xml:space="preserve">Outcomes and Impact Assessment</w:t>
      </w:r>
    </w:p>
    <w:p>
      <w:pPr>
        <w:pStyle w:val="FirstParagraph"/>
      </w:pPr>
      <w:r>
        <w:t xml:space="preserve">The results of the curriculum overhaul, overseen by the</w:t>
      </w:r>
    </w:p>
    <w:p>
      <w:pPr>
        <w:pStyle w:val="BodyText"/>
      </w:pPr>
      <w:hyperlink w:anchor="Xa39a3ee5e6b4b0d3255bfef95601890afd80709">
        <w:r>
          <w:rPr>
            <w:rStyle w:val="Hyperlink"/>
          </w:rPr>
          <w:t xml:space="preserve">Curriculum Developer</w:t>
        </w:r>
      </w:hyperlink>
      <w:r>
        <w:t xml:space="preserve">. demonstrated significant improvements within two academic years: </w:t>
      </w:r>
    </w:p>
    <w:p>
      <w:pPr>
        <w:numPr>
          <w:ilvl w:val="0"/>
          <w:numId w:val="1003"/>
        </w:numPr>
        <w:pStyle w:val="Compact"/>
      </w:pPr>
      <w:r>
        <w:rPr>
          <w:bCs/>
          <w:b/>
        </w:rPr>
        <w:t xml:space="preserve">Student Engagement:</w:t>
      </w:r>
      <w:r>
        <w:t xml:space="preserve">  Participation in STEM-related extracurricular activities increased by 45%. Surveys indicated that students felt a stronger connection between their studies and their daily lives in Madrid.</w:t>
      </w:r>
    </w:p>
    <w:p>
      <w:pPr>
        <w:numPr>
          <w:ilvl w:val="0"/>
          <w:numId w:val="1003"/>
        </w:numPr>
        <w:pStyle w:val="Compact"/>
      </w:pPr>
      <w:r>
        <w:rPr>
          <w:bCs/>
          <w:b/>
        </w:rPr>
        <w:t xml:space="preserve">Academic Performance: </w:t>
      </w:r>
      <w:r>
        <w:t xml:space="preserve">Average scores in regional standardized tests rose by 12%, particularly in practical application sections. This validated the effectiveness of the competency-based approach advocated by the</w:t>
      </w:r>
    </w:p>
    <w:p>
      <w:pPr>
        <w:numPr>
          <w:ilvl w:val="0"/>
          <w:numId w:val="1000"/>
        </w:numPr>
        <w:pStyle w:val="Compact"/>
      </w:pPr>
      <w:r>
        <w:t xml:space="preserve">  </w:t>
      </w:r>
    </w:p>
    <w:p>
      <w:pPr>
        <w:numPr>
          <w:ilvl w:val="0"/>
          <w:numId w:val="1003"/>
        </w:numPr>
        <w:pStyle w:val="Compact"/>
      </w:pPr>
      <w:r>
        <w:rPr>
          <w:bCs/>
          <w:b/>
        </w:rPr>
        <w:t xml:space="preserve">Teacher Satisfaction: </w:t>
      </w:r>
      <w:r>
        <w:t xml:space="preserve">Initial resistance transformed into advocacy. Teachers reported higher job satisfaction due to increased autonomy and access to modern, relevant resources.</w:t>
      </w:r>
    </w:p>
    <w:bookmarkEnd w:id="28"/>
    <w:bookmarkStart w:id="29" w:name="X349f30c2945d562c1a11cf390132c72a78ec321"/>
    <w:p>
      <w:pPr>
        <w:pStyle w:val="Heading2"/>
      </w:pPr>
      <w:r>
        <w:t xml:space="preserve">Lessons Learned for the Curriculum Developer</w:t>
      </w:r>
    </w:p>
    <w:p>
      <w:pPr>
        <w:pStyle w:val="FirstParagraph"/>
      </w:pPr>
      <w:r>
        <w:t xml:space="preserve">This case study highlights several key takeaways for any</w:t>
      </w:r>
    </w:p>
    <w:p>
      <w:pPr>
        <w:pStyle w:val="BodyText"/>
      </w:pPr>
      <w:r>
        <w:t xml:space="preserve">  operating in complex urban environments like</w:t>
      </w:r>
      <w:r>
        <w:t xml:space="preserve"> </w:t>
      </w:r>
      <w:r>
        <w:rPr>
          <w:bCs/>
          <w:b/>
        </w:rPr>
        <w:t xml:space="preserve">Spain Madrid</w:t>
      </w:r>
      <w:r>
        <w:t xml:space="preserve">:</w:t>
      </w:r>
    </w:p>
    <w:p>
      <w:pPr>
        <w:pStyle w:val="BlockText"/>
      </w:pPr>
      <w:r>
        <w:t xml:space="preserve">"A curriculum is not a static document but a dynamic ecosystem. Success depends on listening to the community as much as analyzing data."</w:t>
      </w:r>
    </w:p>
    <w:p>
      <w:pPr>
        <w:pStyle w:val="FirstParagraph"/>
      </w:pPr>
      <w:r>
        <w:rPr>
          <w:bCs/>
          <w:b/>
        </w:rPr>
        <w:t xml:space="preserve">Diplomacy is Key: </w:t>
      </w:r>
      <w:r>
        <w:t xml:space="preserve">In</w:t>
      </w:r>
      <w:r>
        <w:t xml:space="preserve"> </w:t>
      </w:r>
      <w:r>
        <w:rPr>
          <w:bCs/>
          <w:b/>
        </w:rPr>
        <w:t xml:space="preserve">Spain Madrid</w:t>
      </w:r>
      <w:r>
        <w:t xml:space="preserve">, bureaucratic processes are rigorous. A</w:t>
      </w:r>
    </w:p>
    <w:p>
      <w:pPr>
        <w:pStyle w:val="BodyText"/>
      </w:pPr>
      <w:hyperlink w:anchor="Xa39a3ee5e6b4b0d3255bfef95601890afd80709">
        <w:r>
          <w:rPr>
            <w:rStyle w:val="Hyperlink"/>
          </w:rPr>
          <w:t xml:space="preserve">Curriculum Developer</w:t>
        </w:r>
      </w:hyperlink>
      <w:r>
        <w:t xml:space="preserve">. must build strong relationships with local administrators early in the process to avoid regulatory bottlenecks. </w:t>
      </w:r>
    </w:p>
    <w:p>
      <w:pPr>
        <w:pStyle w:val="BodyText"/>
      </w:pPr>
      <w:r>
        <w:rPr>
          <w:bCs/>
          <w:b/>
        </w:rPr>
        <w:t xml:space="preserve">Cultural Relevance Matters: </w:t>
      </w:r>
      <w:r>
        <w:t xml:space="preserve">The curriculum must reflect the diverse reality of its students. In Madrid, this means incorporating multiple languages and cultural perspectives into STEM examples.</w:t>
      </w:r>
    </w:p>
    <w:p>
      <w:pPr>
        <w:pStyle w:val="BodyText"/>
      </w:pPr>
      <w:r>
        <w:rPr>
          <w:bCs/>
          <w:b/>
        </w:rPr>
        <w:t xml:space="preserve">Sustainability Through Training: </w:t>
      </w:r>
      <w:r>
        <w:t xml:space="preserve">The role of a</w:t>
      </w:r>
    </w:p>
    <w:p>
      <w:pPr>
        <w:pStyle w:val="BodyText"/>
      </w:pPr>
      <w:r>
        <w:t xml:space="preserve">  extends beyond design. Continuous professional development for teachers is essential to sustain long-term change.</w:t>
      </w:r>
    </w:p>
    <w:bookmarkEnd w:id="29"/>
    <w:bookmarkStart w:id="30" w:name="conclusion"/>
    <w:p>
      <w:pPr>
        <w:pStyle w:val="Heading2"/>
      </w:pPr>
      <w:r>
        <w:t xml:space="preserve">Conclusion</w:t>
      </w:r>
    </w:p>
    <w:p>
      <w:pPr>
        <w:pStyle w:val="FirstParagraph"/>
      </w:pPr>
      <w:r>
        <w:t xml:space="preserve">This case study underscores the pivotal role of the</w:t>
      </w:r>
    </w:p>
    <w:p>
      <w:pPr>
        <w:pStyle w:val="BodyText"/>
      </w:pPr>
      <w:hyperlink w:anchor="Xa39a3ee5e6b4b0d3255bfef95601890afd80709">
        <w:r>
          <w:rPr>
            <w:rStyle w:val="Hyperlink"/>
          </w:rPr>
          <w:t xml:space="preserve">Curriculum Developer</w:t>
        </w:r>
      </w:hyperlink>
      <w:r>
        <w:t xml:space="preserve">. in shaping educational quality. In</w:t>
      </w:r>
      <w:r>
        <w:t xml:space="preserve"> </w:t>
      </w:r>
      <w:r>
        <w:rPr>
          <w:bCs/>
          <w:b/>
        </w:rPr>
        <w:t xml:space="preserve">Spain Madrid</w:t>
      </w:r>
      <w:r>
        <w:t xml:space="preserve">, where tradition meets innovation, these professionals serve as crucial bridges between policy and practice. By navigating regulatory complexities, engaging stakeholders, and focusing on competency-based outcomes, a well-equipped</w:t>
      </w:r>
    </w:p>
    <w:p>
      <w:pPr>
        <w:pStyle w:val="BodyText"/>
      </w:pPr>
      <w:r>
        <w:t xml:space="preserve">  can transform educational experiences for thousands of students. The success in Madrid serves as a model for other regions facing similar challenges in modernizing their educational frameworks while respecting local identities and legal requirements.</w:t>
      </w:r>
    </w:p>
    <w:p>
      <w:pPr>
        <w:pStyle w:val="BodyText"/>
      </w:pPr>
      <w:r>
        <w:t xml:space="preserve">© 2023 Educational Strategy Group. All rights reserved.</w:t>
      </w:r>
      <w:r>
        <w:br/>
      </w:r>
      <w:r>
        <w:t xml:space="preserve">This case study is for informational purposes only. Specific regulations in</w:t>
      </w:r>
      <w:r>
        <w:t xml:space="preserve"> </w:t>
      </w:r>
      <w:r>
        <w:rPr>
          <w:bCs/>
          <w:b/>
        </w:rPr>
        <w:t xml:space="preserve">Spain Madrid</w:t>
      </w:r>
      <w:r>
        <w:t xml:space="preserve"> </w:t>
      </w:r>
      <w:r>
        <w:t xml:space="preserve"> are subject to change; always consult current legal guidelines.</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Curriculum Development in Spain Madrid</dc:title>
  <dc:creator/>
  <dc:language>en</dc:language>
  <cp:keywords/>
  <dcterms:created xsi:type="dcterms:W3CDTF">2026-07-29T06:20:29Z</dcterms:created>
  <dcterms:modified xsi:type="dcterms:W3CDTF">2026-07-29T06:20:29Z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