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c2051b95ac36e67020e0ffb964a3ef871c6a76e"/>
    <w:p>
      <w:pPr>
        <w:pStyle w:val="Heading1"/>
      </w:pPr>
      <w:r>
        <w:t xml:space="preserve">Transforming Education Through Strategic Curriculum Development in the West Midlands</w:t>
      </w:r>
    </w:p>
    <w:p>
      <w:pPr>
        <w:pStyle w:val="FirstParagraph"/>
      </w:pPr>
      <w:r>
        <w:rPr>
          <w:bCs/>
          <w:b/>
        </w:rPr>
        <w:t xml:space="preserve">Date:</w:t>
      </w:r>
      <w:r>
        <w:t xml:space="preserve"> </w:t>
      </w:r>
      <w:r>
        <w:t xml:space="preserve">October 2023</w:t>
      </w:r>
      <w:r>
        <w:br/>
      </w:r>
      <w:r>
        <w:rPr>
          <w:bCs/>
          <w:b/>
        </w:rPr>
        <w:t xml:space="preserve">Locus:</w:t>
      </w:r>
    </w:p>
    <w:p>
      <w:pPr>
        <w:pStyle w:val="BodyText"/>
      </w:pPr>
      <w:r>
        <w:t xml:space="preserve">United Kingdom Birmingham</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landscape of modern education, the role of a curriculum developer has transcended traditional boundaries. This case study examines the critical interventions undertaken by a senior Curriculum Developer working within an academy trust in United Kingdom Birmingham. As educational institutions in this vibrant region face unprecedented challenges regarding student engagement, digital integration, and post-Brexit economic shifts, the strategic design of learning pathways has become paramount. This document details how a targeted approach to curriculum architecture can drive academic excellence and social mobility.</w:t>
      </w:r>
    </w:p>
    <w:bookmarkEnd w:id="20"/>
    <w:bookmarkStart w:id="21" w:name="X3493919469660a6f80fca460acfc2cdeb84824b"/>
    <w:p>
      <w:pPr>
        <w:pStyle w:val="Heading2"/>
      </w:pPr>
      <w:r>
        <w:t xml:space="preserve">Background: The Educational Landscape in United Kingdom Birmingham</w:t>
      </w:r>
    </w:p>
    <w:p>
      <w:pPr>
        <w:pStyle w:val="FirstParagraph"/>
      </w:pPr>
      <w:r>
        <w:t xml:space="preserve">Birmingham stands as the second-largest city in the nation, characterized by its rich cultural diversity and significant socioeconomic disparities. For schools operating within this urban center, the pressure to deliver high-quality outcomes is intensified by a diverse student demographic that includes a large proportion of English as an Additional Language (EAL) learners and students from disadvantaged backgrounds. The local education authority and individual academy trusts are increasingly looking towards specialized Curriculum Developer professionals to bridge the gap between national standards and local realities.</w:t>
      </w:r>
    </w:p>
    <w:p>
      <w:pPr>
        <w:pStyle w:val="BodyText"/>
      </w:pPr>
      <w:r>
        <w:t xml:space="preserve">The city’s industrial heritage, transitioning into a hub for digital innovation and creative industries, demands an education system that is not only academically rigorous but also vocationally relevant. Consequently, schools in United Kingdom Birmingham are seeking educational frameworks that prepare students for the modern workforce while maintaining strong core academic foundations.</w:t>
      </w:r>
    </w:p>
    <w:bookmarkEnd w:id="21"/>
    <w:bookmarkStart w:id="25" w:name="project-overview-the-challenge"/>
    <w:p>
      <w:pPr>
        <w:pStyle w:val="Heading2"/>
      </w:pPr>
      <w:r>
        <w:t xml:space="preserve">Project Overview: The Challenge</w:t>
      </w:r>
    </w:p>
    <w:p>
      <w:pPr>
        <w:pStyle w:val="FirstParagraph"/>
      </w:pPr>
      <w:r>
        <w:t xml:space="preserve">The primary subject of this case study is a multi-academy trust (MAT) comprising five secondary schools across Birmingham. The trust identified a concerning stagnation in Key Stage 4 results, particularly in STEM (Science, Technology, Engineering, and Mathematics) and Humanities subjects. Furthermore, student feedback indicated a lack of engagement with the existing curriculum content perceived as disconnected from their lived experiences.</w:t>
      </w:r>
    </w:p>
    <w:p>
      <w:pPr>
        <w:pStyle w:val="BodyText"/>
      </w:pPr>
      <w:r>
        <w:t xml:space="preserve">The board tasked a newly appointed Curriculum Developer with the following objectives:</w:t>
      </w:r>
    </w:p>
    <w:p>
      <w:pPr>
        <w:pStyle w:val="BodyText"/>
      </w:pPr>
      <w:r>
        <w:t xml:space="preserve">Audit the current curriculum provision across all five sites.</w:t>
      </w:r>
    </w:p>
    <w:p>
      <w:pPr>
        <w:pStyle w:val="BodyText"/>
      </w:pPr>
      <w:r>
        <w:t xml:space="preserve">Rethink subject sequences to ensure knowledge retention and depth rather than superficial coverage.</w:t>
      </w:r>
    </w:p>
    <w:p>
      <w:pPr>
        <w:pStyle w:val="BodyText"/>
      </w:pPr>
      <w:r>
        <w:t xml:space="preserve">Incorporate digital literacy and British Values more effectively into daily learning.</w:t>
      </w:r>
    </w:p>
    <w:p>
      <w:pPr>
        <w:pStyle w:val="BodyText"/>
      </w:pPr>
      <w:r>
        <w:t xml:space="preserve">The goal was to create a cohesive, inclusive, and rigorous curriculum that would drive up attainment rates in United Kingdom Birmingham over a three-year period.</w:t>
      </w:r>
    </w:p>
    <w:bookmarkStart w:id="22" w:name="X242266760b1eb4d0bb98015c01fc126f7a20cfb"/>
    <w:p>
      <w:pPr>
        <w:pStyle w:val="Heading3"/>
      </w:pPr>
      <w:r>
        <w:t xml:space="preserve">Phase 1: Diagnostic Analysis and Stakeholder Engagement</w:t>
      </w:r>
    </w:p>
    <w:p>
      <w:pPr>
        <w:pStyle w:val="FirstParagraph"/>
      </w:pPr>
      <w:r>
        <w:t xml:space="preserve">The initial stage involved a comprehensive diagnostic audit. The Curriculum Developer conducted lesson observations, analyzed assessment data, and reviewed existing schemes of work. Crucially, the developer engaged in extensive consultation with teachers, senior leadership teams (SLT), parents, and most importantly, students.</w:t>
      </w:r>
    </w:p>
    <w:p>
      <w:pPr>
        <w:pStyle w:val="BodyText"/>
      </w:pPr>
      <w:r>
        <w:t xml:space="preserve">Feedback revealed that while teachers were highly dedicated they lacked confidence in sequencing complex topics effectively. Students felt that the curriculum was fragmented and did not build a coherent narrative of knowledge. In the context of United Kingdom Birmingham this disconnect was particularly acute as many students saw little relevance between classroom learning and their local community’s potential.</w:t>
      </w:r>
    </w:p>
    <w:bookmarkEnd w:id="22"/>
    <w:bookmarkStart w:id="23" w:name="X4a9f7810f1c74d48967f42bd66cc45b7bf41cba"/>
    <w:p>
      <w:pPr>
        <w:pStyle w:val="Heading3"/>
      </w:pPr>
      <w:r>
        <w:t xml:space="preserve">Phase 2: Redesigning the Knowledge-Rich Curriculum</w:t>
      </w:r>
    </w:p>
    <w:p>
      <w:pPr>
        <w:pStyle w:val="FirstParagraph"/>
      </w:pPr>
      <w:r>
        <w:t xml:space="preserve">Armed with these insights, the Curriculum Developer initiated a radical redesign process. Moving away from competency-based frameworks that often led to gaps in knowledge, the developer adopted a "knowledge-rich" approach aligned with the latest Department for Education (DfE) guidance. This involved:</w:t>
      </w:r>
    </w:p>
    <w:p>
      <w:pPr>
        <w:numPr>
          <w:ilvl w:val="0"/>
          <w:numId w:val="1001"/>
        </w:numPr>
        <w:pStyle w:val="Compact"/>
      </w:pPr>
      <w:r>
        <w:rPr>
          <w:bCs/>
          <w:b/>
        </w:rPr>
        <w:t xml:space="preserve">Critical Mapping:</w:t>
      </w:r>
      <w:r>
        <w:t xml:space="preserve"> </w:t>
      </w:r>
      <w:r>
        <w:t xml:space="preserve">Identifying key concepts and essential vocabulary within each subject. The focus shifted from broad topic coverage to deep conceptual understanding.</w:t>
      </w:r>
    </w:p>
    <w:p>
      <w:pPr>
        <w:numPr>
          <w:ilvl w:val="0"/>
          <w:numId w:val="1001"/>
        </w:numPr>
        <w:pStyle w:val="Compact"/>
      </w:pPr>
      <w:r>
        <w:rPr>
          <w:bCs/>
          <w:b/>
        </w:rPr>
        <w:t xml:space="preserve">Spiral Curriculum Design:</w:t>
      </w:r>
      <w:r>
        <w:t xml:space="preserve">Revisiting core ideas at increasing levels of complexity across year groups to ensure long-term memory retention.</w:t>
      </w:r>
    </w:p>
    <w:p>
      <w:pPr>
        <w:numPr>
          <w:ilvl w:val="0"/>
          <w:numId w:val="1001"/>
        </w:numPr>
        <w:pStyle w:val="Compact"/>
      </w:pPr>
      <w:r>
        <w:rPr>
          <w:bCs/>
          <w:b/>
        </w:rPr>
        <w:t xml:space="preserve">Cultural Responsiveness:</w:t>
      </w:r>
      <w:r>
        <w:t xml:space="preserve">Integrating local Birmingham history and diverse global perspectives into the Humanities curriculum to make learning relatable for the city’s multicultural student body.</w:t>
      </w:r>
    </w:p>
    <w:p>
      <w:pPr>
        <w:pStyle w:val="FirstParagraph"/>
      </w:pPr>
      <w:r>
        <w:t xml:space="preserve">A pivotal element of this redesign was the integration of digital tools not just as supplements, but as core components of inquiry-based learning. The Curriculum Developer worked closely with IT specialists to embed coding logic in mathematics and data analysis in geography, ensuring that students were developing future-ready skills.</w:t>
      </w:r>
    </w:p>
    <w:bookmarkEnd w:id="23"/>
    <w:bookmarkStart w:id="24" w:name="Xe7851aae02752b01262514ce05b9d48995e8531"/>
    <w:p>
      <w:pPr>
        <w:pStyle w:val="Heading3"/>
      </w:pPr>
      <w:r>
        <w:t xml:space="preserve">Phase 3: Implementation and Professional Development</w:t>
      </w:r>
    </w:p>
    <w:p>
      <w:pPr>
        <w:pStyle w:val="FirstParagraph"/>
      </w:pPr>
      <w:r>
        <w:t xml:space="preserve">The most challenging aspect of being a curriculum developer is often not the design but the implementation. Recognizing this, the developer structured a robust professional development (PD) program for teachers across United Kingdom Birmingham schools.</w:t>
      </w:r>
    </w:p>
    <w:p>
      <w:pPr>
        <w:numPr>
          <w:ilvl w:val="0"/>
          <w:numId w:val="1002"/>
        </w:numPr>
        <w:pStyle w:val="Compact"/>
      </w:pPr>
      <w:r>
        <w:rPr>
          <w:bCs/>
          <w:b/>
        </w:rPr>
        <w:t xml:space="preserve">Cohort-Based Training:</w:t>
      </w:r>
      <w:r>
        <w:t xml:space="preserve">Teachers were grouped into subject-specific cohorts to co-plan lessons based on the new framework.</w:t>
      </w:r>
    </w:p>
    <w:p>
      <w:pPr>
        <w:numPr>
          <w:ilvl w:val="0"/>
          <w:numId w:val="1002"/>
        </w:numPr>
        <w:pStyle w:val="Compact"/>
      </w:pPr>
      <w:r>
        <w:rPr>
          <w:bCs/>
          <w:b/>
        </w:rPr>
        <w:t xml:space="preserve">Action Research:</w:t>
      </w:r>
      <w:r>
        <w:t xml:space="preserve">Teachers were encouraged to test specific pedagogical strategies derived from the new curriculum and share findings across the trust.</w:t>
      </w:r>
    </w:p>
    <w:p>
      <w:pPr>
        <w:numPr>
          <w:ilvl w:val="0"/>
          <w:numId w:val="1002"/>
        </w:numPr>
        <w:pStyle w:val="Compact"/>
      </w:pPr>
      <w:r>
        <w:rPr>
          <w:bCs/>
          <w:b/>
        </w:rPr>
        <w:t xml:space="preserve">Mentorship Models:</w:t>
      </w:r>
      <w:r>
        <w:t xml:space="preserve">Senior Curriculum Developer led mentoring sessions focused on scaffolding difficult concepts for lower-attaining students, a critical factor in Birmingham’s diverse demographic.</w:t>
      </w:r>
    </w:p>
    <w:bookmarkEnd w:id="24"/>
    <w:bookmarkEnd w:id="25"/>
    <w:bookmarkStart w:id="26" w:name="outcomes-and-impact"/>
    <w:p>
      <w:pPr>
        <w:pStyle w:val="Heading2"/>
      </w:pPr>
      <w:r>
        <w:t xml:space="preserve">Outcomes and Impact</w:t>
      </w:r>
    </w:p>
    <w:p>
      <w:pPr>
        <w:pStyle w:val="FirstParagraph"/>
      </w:pPr>
      <w:r>
        <w:t xml:space="preserve">Two years post-implementation, the data reflects significant positive trends. The MAT reported a 15% increase in the percentage of students achieving Grade 5 or above in GCSE English and Mathematics compared to the three-year average. More importantly, attainment gaps between disadvantaged pupils and their peers narrowed by 8%.</w:t>
      </w:r>
    </w:p>
    <w:p>
      <w:pPr>
        <w:numPr>
          <w:ilvl w:val="0"/>
          <w:numId w:val="1003"/>
        </w:numPr>
        <w:pStyle w:val="Compact"/>
      </w:pPr>
      <w:r>
        <w:rPr>
          <w:bCs/>
          <w:b/>
        </w:rPr>
        <w:t xml:space="preserve">Student Engagement:</w:t>
      </w:r>
      <w:r>
        <w:t xml:space="preserve">Surveys indicated a marked improvement in student satisfaction with their courses, citing greater relevance and clarity in learning objectives.</w:t>
      </w:r>
    </w:p>
    <w:p>
      <w:pPr>
        <w:numPr>
          <w:ilvl w:val="0"/>
          <w:numId w:val="1003"/>
        </w:numPr>
        <w:pStyle w:val="Compact"/>
      </w:pPr>
      <w:r>
        <w:rPr>
          <w:bCs/>
          <w:b/>
        </w:rPr>
        <w:t xml:space="preserve">TTeacher Confidence:</w:t>
      </w:r>
      <w:r>
        <w:t xml:space="preserve">Staff feedback highlighted increased confidence in delivering the new curriculum, noting that the clear sequencing reduced planning time and improved classroom pacing.</w:t>
      </w:r>
    </w:p>
    <w:p>
      <w:pPr>
        <w:numPr>
          <w:ilvl w:val="0"/>
          <w:numId w:val="1003"/>
        </w:numPr>
        <w:pStyle w:val="Compact"/>
      </w:pPr>
      <w:r>
        <w:rPr>
          <w:bCs/>
          <w:b/>
        </w:rPr>
        <w:t xml:space="preserve">Community Partnerships:</w:t>
      </w:r>
      <w:r>
        <w:t xml:space="preserve">The new emphasis on local relevance strengthened ties with Birmingham-based industries, leading to enhanced work experience opportunities for students.</w:t>
      </w:r>
    </w:p>
    <w:bookmarkEnd w:id="26"/>
    <w:bookmarkStart w:id="27" w:name="d-lessons-learned"/>
    <w:p>
      <w:pPr>
        <w:pStyle w:val="Heading2"/>
      </w:pPr>
      <w:r>
        <w:t xml:space="preserve">D Lessons Learned</w:t>
      </w:r>
    </w:p>
    <w:p>
      <w:pPr>
        <w:pStyle w:val="FirstParagraph"/>
      </w:pPr>
      <w:r>
        <w:t xml:space="preserve">This case study offers several key lessons for educational leaders and Curriculum Developer professionals operating in diverse urban environments like United Kingdom Birmingham:</w:t>
      </w:r>
    </w:p>
    <w:p>
      <w:pPr>
        <w:numPr>
          <w:ilvl w:val="0"/>
          <w:numId w:val="1004"/>
        </w:numPr>
        <w:pStyle w:val="Compact"/>
      </w:pPr>
      <w:r>
        <w:rPr>
          <w:bCs/>
          <w:b/>
        </w:rPr>
        <w:t xml:space="preserve">Data-Driven Design:</w:t>
      </w:r>
      <w:r>
        <w:t xml:space="preserve">Effective curriculum development must be rooted in rigorous data analysis and genuine stakeholder consultation. Top-down mandates often fail without buy-in from those delivering the content.</w:t>
      </w:r>
    </w:p>
    <w:p>
      <w:pPr>
        <w:numPr>
          <w:ilvl w:val="0"/>
          <w:numId w:val="1004"/>
        </w:numPr>
        <w:pStyle w:val="Compact"/>
      </w:pPr>
      <w:r>
        <w:rPr>
          <w:bCs/>
          <w:b/>
        </w:rPr>
        <w:t xml:space="preserve">Cultural Relevance is Key:</w:t>
      </w:r>
      <w:r>
        <w:t xml:space="preserve">In a city as diverse as Birmingham, the curriculum must reflect the identities of its students to foster engagement and belonging.</w:t>
      </w:r>
    </w:p>
    <w:p>
      <w:pPr>
        <w:numPr>
          <w:ilvl w:val="0"/>
          <w:numId w:val="1004"/>
        </w:numPr>
        <w:pStyle w:val="Compact"/>
      </w:pPr>
      <w:r>
        <w:rPr>
          <w:bCs/>
          <w:b/>
        </w:rPr>
        <w:t xml:space="preserve">Investment in Pedagogy:</w:t>
      </w:r>
      <w:r>
        <w:t xml:space="preserve">A well-designed document is insufficient without high-quality teaching. Continuous professional development for educators is non-negotiable for successful implementation.</w:t>
      </w:r>
    </w:p>
    <w:p>
      <w:pPr>
        <w:numPr>
          <w:ilvl w:val="0"/>
          <w:numId w:val="1004"/>
        </w:numPr>
        <w:pStyle w:val="Compact"/>
      </w:pPr>
      <w:r>
        <w:rPr>
          <w:bCs/>
          <w:b/>
        </w:rPr>
        <w:t xml:space="preserve">Flexibility within Rigor:</w:t>
      </w:r>
      <w:r>
        <w:t xml:space="preserve">While maintaining high standards, the curriculum must allow teachers the autonomy to adapt examples and contexts to suit local needs.</w:t>
      </w:r>
    </w:p>
    <w:bookmarkEnd w:id="27"/>
    <w:bookmarkStart w:id="28" w:name="conclusion"/>
    <w:p>
      <w:pPr>
        <w:pStyle w:val="Heading2"/>
      </w:pPr>
      <w:r>
        <w:t xml:space="preserve">Conclusion</w:t>
      </w:r>
    </w:p>
    <w:p>
      <w:pPr>
        <w:pStyle w:val="FirstParagraph"/>
      </w:pPr>
      <w:r>
        <w:t xml:space="preserve">The transformation of this academy trust serves as a testament to the power of strategic Curriculum Development. By aligning educational content with the specific socio-economic and cultural context of United Kingdom Birmingham, the trust has not only improved academic outcomes but also enhanced equity and student well-being. For other institutions across England facing similar challenges, this case study highlights that successful curriculum change is not merely an administrative task but a collaborative, iterative process that requires deep empathy for learners and a steadfast commitment to excellence.</w:t>
      </w:r>
    </w:p>
    <w:p>
      <w:pPr>
        <w:pStyle w:val="BodyText"/>
      </w:pPr>
      <w:r>
        <w:t xml:space="preserve">As the educational landscape in United Kingdom Birmingham continues to evolve, the role of the Curriculum Developer remains central to ensuring that schools can adapt, thrive, and prepare their students for a successful future. The integration of local relevance with national rigor provides a robust model for sustainable improvement in urban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United Kingdom Birmingham</dc:title>
  <dc:creator/>
  <dc:language>en</dc:language>
  <cp:keywords/>
  <dcterms:created xsi:type="dcterms:W3CDTF">2026-07-29T04:18:56Z</dcterms:created>
  <dcterms:modified xsi:type="dcterms:W3CDTF">2026-07-29T04:18:56Z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