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Miami</w:t>
      </w:r>
    </w:p>
    <w:bookmarkStart w:id="33" w:name="Xa7f541abd8a52c147702ac663ec686ffff2c67b"/>
    <w:p>
      <w:pPr>
        <w:pStyle w:val="Heading1"/>
      </w:pPr>
      <w:r>
        <w:t xml:space="preserve">Case Study: The Evolution of the Curriculum Developer Role in United States Miami</w:t>
      </w:r>
    </w:p>
    <w:p>
      <w:pPr>
        <w:pStyle w:val="FirstParagraph"/>
      </w:pPr>
      <w:r>
        <w:rPr>
          <w:bCs/>
          <w:b/>
        </w:rPr>
        <w:t xml:space="preserve">Date:</w:t>
      </w:r>
      <w:r>
        <w:t xml:space="preserve"> </w:t>
      </w:r>
      <w:r>
        <w:t xml:space="preserve">October 2023</w:t>
      </w:r>
      <w:r>
        <w:br/>
      </w:r>
      <w:r>
        <w:rPr>
          <w:bCs/>
          <w:b/>
        </w:rPr>
        <w:t xml:space="preserve">Jurisdiction:</w:t>
      </w:r>
      <w:r>
        <w:t xml:space="preserve">United States Miami, Florida</w:t>
      </w:r>
      <w:r>
        <w:br/>
      </w:r>
      <w:r>
        <w:rPr>
          <w:bCs/>
          <w:b/>
        </w:rPr>
        <w:t xml:space="preserve">Focus Area:</w:t>
      </w:r>
      <w:r>
        <w:t xml:space="preserve">Educational Strategy and Pedagogical Innovation</w:t>
      </w:r>
    </w:p>
    <w:bookmarkStart w:id="20" w:name="executive-summary"/>
    <w:p>
      <w:pPr>
        <w:pStyle w:val="Heading3"/>
      </w:pPr>
      <w:r>
        <w:t xml:space="preserve">Executive Summary</w:t>
      </w:r>
    </w:p>
    <w:p>
      <w:pPr>
        <w:pStyle w:val="FirstParagraph"/>
      </w:pPr>
      <w:r>
        <w:t xml:space="preserve">This Case Study analyzes the multifaceted role of a Curriculum Developer within the unique educational landscape of United States Miami. It explores how this professional bridges the gap between standardized educational requirements and the distinct cultural, demographic, and economic characteristics of South Florida. The study highlights critical challenges faced by a Curriculum Developer in this region and outlines strategic solutions that have led to improved student engagement and academic outcomes.</w:t>
      </w:r>
    </w:p>
    <w:bookmarkEnd w:id="20"/>
    <w:bookmarkStart w:id="21" w:name="introduction"/>
    <w:p>
      <w:pPr>
        <w:pStyle w:val="Heading2"/>
      </w:pPr>
      <w:r>
        <w:t xml:space="preserve">1. Introduction</w:t>
      </w:r>
    </w:p>
    <w:p>
      <w:pPr>
        <w:pStyle w:val="FirstParagraph"/>
      </w:pPr>
      <w:r>
        <w:t xml:space="preserve">In the dynamic educational ecosystem of the United States, local jurisdictions often possess distinct pedagogical needs that national standards alone cannot satisfy. Nowhere is this more evident than in United States Miami, a city characterized by its vibrant multiculturalism, rapid population growth, and significant linguistic diversity. At the center of navigating these complexities is the</w:t>
      </w:r>
      <w:r>
        <w:t xml:space="preserve"> </w:t>
      </w:r>
      <w:r>
        <w:rPr>
          <w:bCs/>
          <w:b/>
        </w:rPr>
        <w:t xml:space="preserve">Curriculum Developer</w:t>
      </w:r>
      <w:r>
        <w:t xml:space="preserve">. This professional is not merely an administrator but a strategic architect of learning experiences. This case study examines how a</w:t>
      </w:r>
      <w:r>
        <w:t xml:space="preserve"> </w:t>
      </w:r>
      <w:r>
        <w:rPr>
          <w:bCs/>
          <w:b/>
        </w:rPr>
        <w:t xml:space="preserve">Curriculum Developer</w:t>
      </w:r>
      <w:r>
        <w:t xml:space="preserve"> </w:t>
      </w:r>
      <w:r>
        <w:t xml:space="preserve">operating in United States Miami must adapt traditional instructional design principles to serve a student body that is disproportionately bilingual and socio-economically diverse.</w:t>
      </w:r>
    </w:p>
    <w:bookmarkEnd w:id="21"/>
    <w:bookmarkStart w:id="22" w:name="X28578fa30e00d6081e3f5616cfb0b6f27a3d65e"/>
    <w:p>
      <w:pPr>
        <w:pStyle w:val="Heading2"/>
      </w:pPr>
      <w:r>
        <w:t xml:space="preserve">2. Contextual Background: The Landscape of United States Miami</w:t>
      </w:r>
    </w:p>
    <w:p>
      <w:pPr>
        <w:pStyle w:val="FirstParagraph"/>
      </w:pPr>
      <w:r>
        <w:rPr>
          <w:bCs/>
          <w:b/>
        </w:rPr>
        <w:t xml:space="preserve">Miami, Florida,</w:t>
      </w:r>
    </w:p>
    <w:p>
      <w:pPr>
        <w:pStyle w:val="BodyText"/>
      </w:pPr>
      <w:r>
        <w:t xml:space="preserve">For any organization operating in United States Miami—whether a public school district, charter network, or private educational institute—the curriculum cannot be "one-size-fits-all." A generic approach fails to engage students who do not see their cultural identities reflected in standard textbooks. Therefore, the role of the</w:t>
      </w:r>
      <w:r>
        <w:t xml:space="preserve"> </w:t>
      </w:r>
      <w:r>
        <w:rPr>
          <w:bCs/>
          <w:b/>
        </w:rPr>
        <w:t xml:space="preserve">Curriculum Developer</w:t>
      </w:r>
      <w:r>
        <w:t xml:space="preserve"> </w:t>
      </w:r>
      <w:r>
        <w:t xml:space="preserve">becomes pivotal in localizing content while maintaining compliance with Florida State Standards and federal mandates applicable across the United States.</w:t>
      </w:r>
    </w:p>
    <w:bookmarkEnd w:id="22"/>
    <w:bookmarkStart w:id="24" w:name="the-role-of-the-curriculum-developer"/>
    <w:p>
      <w:pPr>
        <w:pStyle w:val="Heading2"/>
      </w:pPr>
      <w:r>
        <w:t xml:space="preserve">3. The Role of the Curriculum Developer</w:t>
      </w:r>
    </w:p>
    <w:p>
      <w:pPr>
        <w:pStyle w:val="FirstParagraph"/>
      </w:pPr>
      <w:r>
        <w:t xml:space="preserve">The</w:t>
      </w:r>
      <w:r>
        <w:t xml:space="preserve"> </w:t>
      </w:r>
      <w:r>
        <w:rPr>
          <w:bCs/>
          <w:b/>
        </w:rPr>
        <w:t xml:space="preserve">Curriculum Developer</w:t>
      </w:r>
      <w:r>
        <w:t xml:space="preserve"> </w:t>
      </w:r>
      <w:r>
        <w:t xml:space="preserve">in this context functions as a hybrid expert, requiring skills in instructional design, cultural competency, data analysis, and community relations. Their primary responsibility is to create coherent learning sequences that align with academic standards while remaining accessible and relevant to the students of United States Miami.</w:t>
      </w:r>
    </w:p>
    <w:bookmarkStart w:id="23" w:name="key-responsibilities-include"/>
    <w:p>
      <w:pPr>
        <w:pStyle w:val="Heading3"/>
      </w:pPr>
      <w:r>
        <w:t xml:space="preserve">Key Responsibilities Include:</w:t>
      </w:r>
    </w:p>
    <w:p>
      <w:pPr>
        <w:numPr>
          <w:ilvl w:val="0"/>
          <w:numId w:val="1001"/>
        </w:numPr>
        <w:pStyle w:val="Compact"/>
      </w:pPr>
      <w:r>
        <w:rPr>
          <w:bCs/>
          <w:b/>
        </w:rPr>
        <w:t xml:space="preserve">Cultural Localization:</w:t>
      </w:r>
      <w:r>
        <w:t xml:space="preserve"> </w:t>
      </w:r>
      <w:r>
        <w:t xml:space="preserve">Adapting case studies, literature, and historical narratives to include Latino and Caribbean perspectives that resonate with the local demographic.</w:t>
      </w:r>
    </w:p>
    <w:p>
      <w:pPr>
        <w:numPr>
          <w:ilvl w:val="0"/>
          <w:numId w:val="1001"/>
        </w:numPr>
        <w:pStyle w:val="Compact"/>
      </w:pPr>
      <w:r>
        <w:rPr>
          <w:bCs/>
          <w:b/>
        </w:rPr>
        <w:t xml:space="preserve">Linguistic Scaffolding:</w:t>
      </w:r>
      <w:r>
        <w:t xml:space="preserve"> </w:t>
      </w:r>
      <w:r>
        <w:t xml:space="preserve">Designing materials that support English Language Learners (ELLs), a significant portion of the United States Miami student population.</w:t>
      </w:r>
    </w:p>
    <w:p>
      <w:pPr>
        <w:numPr>
          <w:ilvl w:val="0"/>
          <w:numId w:val="1001"/>
        </w:numPr>
        <w:pStyle w:val="Compact"/>
      </w:pPr>
      <w:r>
        <w:rPr>
          <w:bCs/>
          <w:b/>
        </w:rPr>
        <w:t xml:space="preserve">State Compliance:</w:t>
      </w:r>
      <w:r>
        <w:t xml:space="preserve"> </w:t>
      </w:r>
      <w:r>
        <w:t xml:space="preserve">Ensuring all developed materials meet the rigorous requirements set by the Florida Department of Education and federal laws such as IDEA and ESSA.</w:t>
      </w:r>
    </w:p>
    <w:p>
      <w:pPr>
        <w:numPr>
          <w:ilvl w:val="0"/>
          <w:numId w:val="1001"/>
        </w:numPr>
        <w:pStyle w:val="Compact"/>
      </w:pPr>
      <w:r>
        <w:rPr>
          <w:bCs/>
          <w:b/>
        </w:rPr>
        <w:t xml:space="preserve">Tech Integration:</w:t>
      </w:r>
      <w:r>
        <w:t xml:space="preserve"> </w:t>
      </w:r>
      <w:r>
        <w:t xml:space="preserve">Incorporating digital tools that reflect the high-tech, mobile-first culture prevalent in South Florida.</w:t>
      </w:r>
    </w:p>
    <w:bookmarkEnd w:id="23"/>
    <w:bookmarkEnd w:id="24"/>
    <w:bookmarkStart w:id="25" w:name="problem-statement"/>
    <w:p>
      <w:pPr>
        <w:pStyle w:val="Heading2"/>
      </w:pPr>
      <w:r>
        <w:t xml:space="preserve">4. Problem Statement</w:t>
      </w:r>
    </w:p>
    <w:p>
      <w:pPr>
        <w:pStyle w:val="FirstParagraph"/>
      </w:pPr>
      <w:r>
        <w:t xml:space="preserve">A mid-sized school district in United States Miami faced a critical challenge: despite high attendance rates, standardized test scores in literacy and science were stagnating. Disengagement was high among secondary students who felt disconnected from the dry, abstract nature of the existing curriculum. Teachers reported difficulty differentiating instruction for classrooms where half the students spoke Spanish as their first language. The district needed a comprehensive overhaul of its core curriculum to address these disparities.</w:t>
      </w:r>
    </w:p>
    <w:bookmarkEnd w:id="25"/>
    <w:bookmarkStart w:id="29" w:name="X101817553c296e5c415ab2a49339a6c3bc43232"/>
    <w:p>
      <w:pPr>
        <w:pStyle w:val="Heading2"/>
      </w:pPr>
      <w:r>
        <w:t xml:space="preserve">5. Strategic Intervention: The Curriculum Developer’s Approach</w:t>
      </w:r>
    </w:p>
    <w:p>
      <w:pPr>
        <w:pStyle w:val="FirstParagraph"/>
      </w:pPr>
      <w:r>
        <w:t xml:space="preserve">The appointed</w:t>
      </w:r>
      <w:r>
        <w:t xml:space="preserve"> </w:t>
      </w:r>
      <w:r>
        <w:rPr>
          <w:bCs/>
          <w:b/>
        </w:rPr>
        <w:t xml:space="preserve">Curriculum Developer</w:t>
      </w:r>
      <w:r>
        <w:t xml:space="preserve"> </w:t>
      </w:r>
      <w:r>
        <w:t xml:space="preserve">initiated a three-phase strategic plan designed to revitalize the educational framework in United States Miami.</w:t>
      </w:r>
    </w:p>
    <w:bookmarkStart w:id="26" w:name="X81215b35fa53baa1c27dce225f7ec0a518548c2"/>
    <w:p>
      <w:pPr>
        <w:pStyle w:val="Heading3"/>
      </w:pPr>
      <w:r>
        <w:t xml:space="preserve">Phase 1: Needs Assessment and Community Stakeholder Engagement</w:t>
      </w:r>
    </w:p>
    <w:p>
      <w:pPr>
        <w:pStyle w:val="FirstParagraph"/>
      </w:pPr>
      <w:r>
        <w:t xml:space="preserve">Rather than imposing changes from the top down, the</w:t>
      </w:r>
      <w:r>
        <w:t xml:space="preserve"> </w:t>
      </w:r>
      <w:r>
        <w:rPr>
          <w:bCs/>
          <w:b/>
        </w:rPr>
        <w:t xml:space="preserve">Curriculum Developer</w:t>
      </w:r>
    </w:p>
    <w:bookmarkEnd w:id="26"/>
    <w:bookmarkStart w:id="27" w:name="X0c2556a8c93687bc8c704b71b7b7d738a9258bf"/>
    <w:p>
      <w:pPr>
        <w:pStyle w:val="Heading3"/>
      </w:pPr>
      <w:r>
        <w:t xml:space="preserve">Phase 2: Designing Culturally Responsive Materials</w:t>
      </w:r>
    </w:p>
    <w:p>
      <w:pPr>
        <w:pStyle w:val="FirstParagraph"/>
      </w:pPr>
      <w:r>
        <w:t xml:space="preserve">The core of the intervention involved the redesign of instructional materials. The</w:t>
      </w:r>
      <w:r>
        <w:t xml:space="preserve"> </w:t>
      </w:r>
      <w:r>
        <w:rPr>
          <w:bCs/>
          <w:b/>
        </w:rPr>
        <w:t xml:space="preserve">Curriculum Developer</w:t>
      </w:r>
      <w:r>
        <w:t xml:space="preserve"> </w:t>
      </w:r>
      <w:r>
        <w:t xml:space="preserve">collaborated with local authors and historians to create supplementary texts featuring stories from Little Havana, Wynwood, and Key Biscayne. In science classes, examples related to marine biology and coastal ecology were prioritized over generic examples. This localization strategy was crucial for the United States Miami context, making learning immediately relevant to students' daily lives.</w:t>
      </w:r>
    </w:p>
    <w:p>
      <w:pPr>
        <w:pStyle w:val="BodyText"/>
      </w:pPr>
      <w:r>
        <w:t xml:space="preserve">Simultaneously, the developer implemented a "dual-language track" framework. For subjects like History and Social Studies, parallel resources were developed in English and Spanish to support ELL students without segregating them from their peers. This approach ensured that language barriers did not become academic barriers.</w:t>
      </w:r>
    </w:p>
    <w:bookmarkEnd w:id="27"/>
    <w:bookmarkStart w:id="28" w:name="X8c1300bd21b87a5d2c78b4d159dd23a97dfe08f"/>
    <w:p>
      <w:pPr>
        <w:pStyle w:val="Heading3"/>
      </w:pPr>
      <w:r>
        <w:t xml:space="preserve">Phase 3: Professional Development and Iterative Review</w:t>
      </w:r>
    </w:p>
    <w:p>
      <w:pPr>
        <w:pStyle w:val="FirstParagraph"/>
      </w:pPr>
      <w:r>
        <w:t xml:space="preserve">A curriculum is only as good as its implementation. The</w:t>
      </w:r>
      <w:r>
        <w:t xml:space="preserve"> </w:t>
      </w:r>
      <w:r>
        <w:rPr>
          <w:bCs/>
          <w:b/>
        </w:rPr>
        <w:t xml:space="preserve">Curriculum Developer</w:t>
      </w:r>
    </w:p>
    <w:bookmarkEnd w:id="28"/>
    <w:bookmarkEnd w:id="29"/>
    <w:bookmarkStart w:id="30" w:name="outcomes-and-impact"/>
    <w:p>
      <w:pPr>
        <w:pStyle w:val="Heading2"/>
      </w:pPr>
      <w:r>
        <w:t xml:space="preserve">6. Outcomes and Impact</w:t>
      </w:r>
    </w:p>
    <w:p>
      <w:pPr>
        <w:pStyle w:val="FirstParagraph"/>
      </w:pPr>
      <w:r>
        <w:t xml:space="preserve">After two academic years of implementation, the results in United States Miami demonstrated significant positive trends:</w:t>
      </w:r>
    </w:p>
    <w:p>
      <w:pPr>
        <w:numPr>
          <w:ilvl w:val="0"/>
          <w:numId w:val="1002"/>
        </w:numPr>
        <w:pStyle w:val="Compact"/>
      </w:pPr>
      <w:r>
        <w:rPr>
          <w:bCs/>
          <w:b/>
        </w:rPr>
        <w:t xml:space="preserve">Increased Engagement:</w:t>
      </w:r>
      <w:r>
        <w:t xml:space="preserve"> </w:t>
      </w:r>
      <w:r>
        <w:t xml:space="preserve">Student participation in class discussions rose by 35%, attributed largely to the culturally relevant content developed by the</w:t>
      </w:r>
      <w:r>
        <w:t xml:space="preserve"> </w:t>
      </w:r>
      <w:r>
        <w:rPr>
          <w:bCs/>
          <w:b/>
        </w:rPr>
        <w:t xml:space="preserve">Curriculum Developer</w:t>
      </w:r>
      <w:r>
        <w:t xml:space="preserve">.</w:t>
      </w:r>
    </w:p>
    <w:p>
      <w:pPr>
        <w:numPr>
          <w:ilvl w:val="0"/>
          <w:numId w:val="1002"/>
        </w:numPr>
        <w:pStyle w:val="Compact"/>
      </w:pPr>
      <w:r>
        <w:rPr>
          <w:bCs/>
          <w:b/>
        </w:rPr>
        <w:t xml:space="preserve">Literacy Gains:</w:t>
      </w:r>
      <w:r>
        <w:t xml:space="preserve"> </w:t>
      </w:r>
      <w:r>
        <w:t xml:space="preserve">Standardized test scores improved by 12% district-wide, with the most significant gains seen among ELL students who benefited from the scaffolded bilingual resources.</w:t>
      </w:r>
    </w:p>
    <w:p>
      <w:pPr>
        <w:numPr>
          <w:ilvl w:val="0"/>
          <w:numId w:val="1002"/>
        </w:numPr>
        <w:pStyle w:val="Compact"/>
      </w:pPr>
      <w:r>
        <w:rPr>
          <w:bCs/>
          <w:b/>
        </w:rPr>
        <w:t xml:space="preserve">Biliteracy Certification:</w:t>
      </w:r>
      <w:r>
        <w:t xml:space="preserve"> </w:t>
      </w:r>
      <w:r>
        <w:t xml:space="preserve">The district achieved a 20% increase in students earning state biliteracy seals on their high school diplomas, enhancing their college and career prospects.</w:t>
      </w:r>
    </w:p>
    <w:bookmarkEnd w:id="30"/>
    <w:bookmarkStart w:id="31" w:name="challenges-and-lessons-learned"/>
    <w:p>
      <w:pPr>
        <w:pStyle w:val="Heading2"/>
      </w:pPr>
      <w:r>
        <w:t xml:space="preserve">7. Challenges and Lessons Learned</w:t>
      </w:r>
    </w:p>
    <w:p>
      <w:pPr>
        <w:pStyle w:val="FirstParagraph"/>
      </w:pPr>
      <w:r>
        <w:t xml:space="preserve">The journey was not without obstacles. Resistance from some traditionalist stakeholders who feared "dilution" of academic rigor was a significant hurdle. The</w:t>
      </w:r>
      <w:r>
        <w:t xml:space="preserve"> </w:t>
      </w:r>
      <w:r>
        <w:rPr>
          <w:bCs/>
          <w:b/>
        </w:rPr>
        <w:t xml:space="preserve">Curriculum Developer</w:t>
      </w:r>
    </w:p>
    <w:bookmarkEnd w:id="31"/>
    <w:bookmarkStart w:id="32" w:name="conclusion"/>
    <w:p>
      <w:pPr>
        <w:pStyle w:val="Heading2"/>
      </w:pPr>
      <w:r>
        <w:t xml:space="preserve">8. Conclusion</w:t>
      </w:r>
    </w:p>
    <w:p>
      <w:pPr>
        <w:pStyle w:val="FirstParagraph"/>
      </w:pPr>
      <w:r>
        <w:t xml:space="preserve">This case study underscores the vital importance of the</w:t>
      </w:r>
      <w:r>
        <w:t xml:space="preserve"> </w:t>
      </w:r>
      <w:r>
        <w:rPr>
          <w:bCs/>
          <w:b/>
        </w:rPr>
        <w:t xml:space="preserve">Curriculum Developer Curriculum Developer</w:t>
      </w:r>
      <w:r>
        <w:t xml:space="preserve"> </w:t>
      </w:r>
      <w:r>
        <w:t xml:space="preserve">can transform abstract standards into meaningful learning experiences. The case of United States Miami serves as a model for how localized curriculum development can drive academic success in diverse urban environments across the United States.</w:t>
      </w:r>
    </w:p>
    <w:p>
      <w:pPr>
        <w:pStyle w:val="BodyText"/>
      </w:pPr>
      <w:r>
        <w:rPr>
          <w:iCs/>
          <w:i/>
        </w:rPr>
        <w:t xml:space="preserve">This document serves as an educational resource illustrating best practices for instructional design and curriculum management within the specific socio-economic and cultural framework of Miami, Florida.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Miami</dc:title>
  <dc:creator/>
  <dc:language>en</dc:language>
  <cp:keywords/>
  <dcterms:created xsi:type="dcterms:W3CDTF">2026-07-29T10:03:39Z</dcterms:created>
  <dcterms:modified xsi:type="dcterms:W3CDTF">2026-07-29T10:03:39Z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