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Venezuela,</w:t>
      </w:r>
      <w:r>
        <w:t xml:space="preserve"> </w:t>
      </w:r>
      <w:r>
        <w:t xml:space="preserve">Caracas</w:t>
      </w:r>
    </w:p>
    <w:bookmarkStart w:id="31" w:name="Xbc74dd70606285d7061d63daabf0fbbf214b232"/>
    <w:p>
      <w:pPr>
        <w:pStyle w:val="Heading1"/>
      </w:pPr>
      <w:r>
        <w:t xml:space="preserve">Bridging the Gap: A Case Study on Curriculum Development in Venezuela, Caracas</w:t>
      </w:r>
    </w:p>
    <w:p>
      <w:pPr>
        <w:pStyle w:val="FirstParagraph"/>
      </w:pPr>
      <w:r>
        <w:rPr>
          <w:bCs/>
          <w:b/>
        </w:rPr>
        <w:t xml:space="preserve">Date:</w:t>
      </w:r>
      <w:r>
        <w:t xml:space="preserve"> </w:t>
      </w:r>
      <w:r>
        <w:t xml:space="preserve">October 2023</w:t>
      </w:r>
      <w:r>
        <w:br/>
      </w:r>
      <w:r>
        <w:rPr>
          <w:bCs/>
          <w:b/>
        </w:rPr>
        <w:t xml:space="preserve">Subject:</w:t>
      </w:r>
    </w:p>
    <w:bookmarkStart w:id="20" w:name="executive-summary"/>
    <w:p>
      <w:pPr>
        <w:pStyle w:val="Heading3"/>
      </w:pPr>
      <w:r>
        <w:t xml:space="preserve">Executive Summary</w:t>
      </w:r>
    </w:p>
    <w:p>
      <w:pPr>
        <w:pStyle w:val="FirstParagraph"/>
      </w:pPr>
      <w:r>
        <w:t xml:space="preserve">This case study examines the critical role of the</w:t>
      </w:r>
      <w:r>
        <w:t xml:space="preserve"> </w:t>
      </w:r>
      <w:r>
        <w:rPr>
          <w:bCs/>
          <w:b/>
          <w:iCs/>
          <w:i/>
        </w:rPr>
        <w:t xml:space="preserve">Curriculum Developer</w:t>
      </w:r>
      <w:r>
        <w:t xml:space="preserve"> </w:t>
      </w:r>
      <w:r>
        <w:t xml:space="preserve">in navigating the complex educational landscape of</w:t>
      </w:r>
      <w:r>
        <w:t xml:space="preserve"> </w:t>
      </w:r>
      <w:r>
        <w:rPr>
          <w:bCs/>
          <w:b/>
          <w:iCs/>
          <w:i/>
        </w:rPr>
        <w:t xml:space="preserve">Venezuela, Caracas</w:t>
      </w:r>
      <w:r>
        <w:t xml:space="preserve">. Amidst significant economic and infrastructural challenges, this document explores how specialized instructional design can restore pedagogical integrity, integrate technology where possible, and create culturally relevant learning materials for students in the capital city.</w:t>
      </w:r>
    </w:p>
    <w:bookmarkEnd w:id="20"/>
    <w:bookmarkStart w:id="21" w:name="X0262549476ecb4cc279e8646ac167a6f6ce9283"/>
    <w:p>
      <w:pPr>
        <w:pStyle w:val="Heading2"/>
      </w:pPr>
      <w:r>
        <w:t xml:space="preserve">1. Contextual Background: The Educational Landscape in Caracas</w:t>
      </w:r>
    </w:p>
    <w:p>
      <w:pPr>
        <w:pStyle w:val="FirstParagraph"/>
      </w:pPr>
      <w:r>
        <w:t xml:space="preserve">Venezuela has faced one of the most profound humanitarian and economic crises of the 21st century, with severe repercussions for its public and private education sectors. In</w:t>
      </w:r>
      <w:r>
        <w:t xml:space="preserve"> </w:t>
      </w:r>
      <w:r>
        <w:rPr>
          <w:bCs/>
          <w:b/>
        </w:rPr>
        <w:t xml:space="preserve">Venezuela, Caracas</w:t>
      </w:r>
      <w:r>
        <w:t xml:space="preserve">, the capital city, these challenges are concentrated but also present unique opportunities for innovation due to the high density of universities, NGOs, and private educational institutions.</w:t>
      </w:r>
    </w:p>
    <w:p>
      <w:pPr>
        <w:pStyle w:val="BodyText"/>
      </w:pPr>
      <w:r>
        <w:t xml:space="preserve">The traditional curriculum models in Venezuela often struggled with rigid standardization that failed to account for local socio-economic realities. Teachers reported a lack of updated resources, outdated pedagogical methods, and a disconnect between academic theory and the practical skills required by the modern labor market. Furthermore, the migration of qualified educators has created a vacuum that necessitates robust curriculum frameworks that can support both new teachers and experienced professionals.</w:t>
      </w:r>
    </w:p>
    <w:bookmarkEnd w:id="21"/>
    <w:bookmarkStart w:id="22" w:name="the-role-of-the-curriculum-developer"/>
    <w:p>
      <w:pPr>
        <w:pStyle w:val="Heading2"/>
      </w:pPr>
      <w:r>
        <w:t xml:space="preserve">2. The Role of the Curriculum Developer</w:t>
      </w:r>
    </w:p>
    <w:p>
      <w:pPr>
        <w:pStyle w:val="FirstParagraph"/>
      </w:pPr>
      <w:r>
        <w:t xml:space="preserve">In this specific context, the definition of a</w:t>
      </w:r>
      <w:r>
        <w:t xml:space="preserve"> </w:t>
      </w:r>
      <w:r>
        <w:rPr>
          <w:iCs/>
          <w:i/>
          <w:bCs/>
          <w:b/>
        </w:rPr>
        <w:t xml:space="preserve">Curriculum Developer</w:t>
      </w:r>
      <w:r>
        <w:t xml:space="preserve"> </w:t>
      </w:r>
      <w:r>
        <w:t xml:space="preserve">extends beyond simple content creation. It involves being a strategic architect of learning experiences that are resilient, adaptable, and locally grounded. The primary objectives for a Curriculum Developer in Caracas included:</w:t>
      </w:r>
    </w:p>
    <w:p>
      <w:pPr>
        <w:numPr>
          <w:ilvl w:val="0"/>
          <w:numId w:val="1001"/>
        </w:numPr>
        <w:pStyle w:val="Compact"/>
      </w:pPr>
      <w:r>
        <w:rPr>
          <w:bCs/>
          <w:b/>
        </w:rPr>
        <w:t xml:space="preserve">Pedagogical Reconstruction:</w:t>
      </w:r>
      <w:r>
        <w:t xml:space="preserve"> </w:t>
      </w:r>
      <w:r>
        <w:t xml:space="preserve">Moving away from rote memorization toward competency-based education that encourages critical thinking and problem-solving.</w:t>
      </w:r>
    </w:p>
    <w:p>
      <w:pPr>
        <w:numPr>
          <w:ilvl w:val="0"/>
          <w:numId w:val="1001"/>
        </w:numPr>
        <w:pStyle w:val="Compact"/>
      </w:pPr>
      <w:r>
        <w:rPr>
          <w:bCs/>
          <w:b/>
        </w:rPr>
        <w:t xml:space="preserve">Cultural Relevance:</w:t>
      </w:r>
      <w:r>
        <w:t xml:space="preserve"> </w:t>
      </w:r>
      <w:r>
        <w:t xml:space="preserve">Ensuring that learning materials reflect the Venezuelan identity, history, and social dynamics to foster student engagement.</w:t>
      </w:r>
    </w:p>
    <w:p>
      <w:pPr>
        <w:numPr>
          <w:ilvl w:val="0"/>
          <w:numId w:val="1001"/>
        </w:numPr>
        <w:pStyle w:val="Compact"/>
      </w:pPr>
      <w:r>
        <w:rPr>
          <w:bCs/>
          <w:b/>
        </w:rPr>
        <w:t xml:space="preserve">Digital Integration:</w:t>
      </w:r>
      <w:r>
        <w:t xml:space="preserve"> </w:t>
      </w:r>
      <w:r>
        <w:t xml:space="preserve">Designing hybrid learning models that can function with intermittent internet connectivity, a common reality in many parts of Caracas.</w:t>
      </w:r>
    </w:p>
    <w:p>
      <w:pPr>
        <w:numPr>
          <w:ilvl w:val="0"/>
          <w:numId w:val="1001"/>
        </w:numPr>
        <w:pStyle w:val="Compact"/>
      </w:pPr>
      <w:r>
        <w:rPr>
          <w:bCs/>
          <w:b/>
        </w:rPr>
        <w:t xml:space="preserve">Inclusivity:</w:t>
      </w:r>
      <w:r>
        <w:t xml:space="preserve"> </w:t>
      </w:r>
      <w:r>
        <w:t xml:space="preserve">Creating frameworks that address the diverse needs of students, including those from displaced populations or varying economic backgrounds.</w:t>
      </w:r>
    </w:p>
    <w:bookmarkEnd w:id="22"/>
    <w:bookmarkStart w:id="27" w:name="methodology-the-design-process"/>
    <w:p>
      <w:pPr>
        <w:pStyle w:val="Heading2"/>
      </w:pPr>
      <w:r>
        <w:t xml:space="preserve">3. Methodology: The Design Process</w:t>
      </w:r>
    </w:p>
    <w:p>
      <w:pPr>
        <w:pStyle w:val="FirstParagraph"/>
      </w:pPr>
      <w:r>
        <w:t xml:space="preserve">The project undertaken in Caracas utilized an iterative design model, specifically tailored to the constraints and opportunities of</w:t>
      </w:r>
      <w:r>
        <w:t xml:space="preserve"> </w:t>
      </w:r>
      <w:r>
        <w:rPr>
          <w:bCs/>
          <w:b/>
        </w:rPr>
        <w:t xml:space="preserve">Venezuela, Caracas</w:t>
      </w:r>
      <w:r>
        <w:t xml:space="preserve">. The process was divided into four distinct phases:</w:t>
      </w:r>
    </w:p>
    <w:bookmarkStart w:id="23" w:name="X032b05cb68672c3596b42c7481ea8e556b38afc"/>
    <w:p>
      <w:pPr>
        <w:pStyle w:val="Heading3"/>
      </w:pPr>
      <w:r>
        <w:t xml:space="preserve">Phase 1: Needs Analysis and Stakeholder Engagement</w:t>
      </w:r>
    </w:p>
    <w:p>
      <w:pPr>
        <w:pStyle w:val="FirstParagraph"/>
      </w:pPr>
      <w:r>
        <w:t xml:space="preserve">The first step involved extensive field research. The Curriculum Developer conducted interviews with teachers, school principals, and parents across three distinct zones of Caracas: Chacao (commercial/upper-middle class), Baruta (suburban/residential), and Sucre (working-class). The data revealed a consensus: students were disengaged because the curriculum felt irrelevant to their daily lives. Teachers lacked confidence in implementing digital tools effectively.</w:t>
      </w:r>
    </w:p>
    <w:bookmarkEnd w:id="23"/>
    <w:bookmarkStart w:id="24" w:name="phase-2-framework-adaptation"/>
    <w:p>
      <w:pPr>
        <w:pStyle w:val="Heading3"/>
      </w:pPr>
      <w:r>
        <w:t xml:space="preserve">Phase 2: Framework Adaptation</w:t>
      </w:r>
    </w:p>
    <w:p>
      <w:pPr>
        <w:pStyle w:val="FirstParagraph"/>
      </w:pPr>
      <w:r>
        <w:t xml:space="preserve">Relying on international standards such as the OECD’s learning framework, the Curriculum Developer adapted these guidelines to fit the Venezuelan context. This involved simplifying complex theoretical models into actionable lesson plans. A key decision was to prioritize "low-tech, high-impact" strategies. Instead of relying solely on heavy video content which requires high bandwidth, the curriculum emphasized interactive offline applications, printed supplementary materials with QR codes for asynchronous use, and collaborative group work.</w:t>
      </w:r>
    </w:p>
    <w:bookmarkEnd w:id="24"/>
    <w:bookmarkStart w:id="25" w:name="X6f296e836094cfb4dba7b080457a3747fdf1465"/>
    <w:p>
      <w:pPr>
        <w:pStyle w:val="Heading3"/>
      </w:pPr>
      <w:r>
        <w:t xml:space="preserve">Phase 3: Content Creation and Localization</w:t>
      </w:r>
    </w:p>
    <w:p>
      <w:pPr>
        <w:pStyle w:val="FirstParagraph"/>
      </w:pPr>
      <w:r>
        <w:t xml:space="preserve">This phase was crucial for ensuring that the term "Curriculum Developer" meant more than translation. The content had to be authentically local. For example, mathematics modules used real-world scenarios involving the local economy, public transportation systems of Caracas, and historical data from Venezuelan institutions. Literature classes incorporated contemporary Venezuelan authors who speak to the current social climate, fostering a sense of pride and connection among students.</w:t>
      </w:r>
    </w:p>
    <w:bookmarkEnd w:id="25"/>
    <w:bookmarkStart w:id="26" w:name="phase-4-pilot-testing-and-feedback-loops"/>
    <w:p>
      <w:pPr>
        <w:pStyle w:val="Heading3"/>
      </w:pPr>
      <w:r>
        <w:t xml:space="preserve">Phase 4: Pilot Testing and Feedback Loops</w:t>
      </w:r>
    </w:p>
    <w:p>
      <w:pPr>
        <w:pStyle w:val="FirstParagraph"/>
      </w:pPr>
      <w:r>
        <w:t xml:space="preserve">The curriculum was piloted in five partner schools in Caracas. The Curriculum Developer established a rapid feedback mechanism. Teachers were equipped with digital tablets to upload their observations and student performance data weekly. This allowed for real-time adjustments. For instance, it was discovered that the initial reading levels were too high for 7th-grade students due to recent disruptions in schooling, prompting an immediate remediation module insertion.</w:t>
      </w:r>
    </w:p>
    <w:bookmarkEnd w:id="26"/>
    <w:bookmarkEnd w:id="27"/>
    <w:bookmarkStart w:id="28" w:name="challenges-and-solutions"/>
    <w:p>
      <w:pPr>
        <w:pStyle w:val="Heading2"/>
      </w:pPr>
      <w:r>
        <w:t xml:space="preserve">4. Challenges and Solutions</w:t>
      </w:r>
    </w:p>
    <w:p>
      <w:pPr>
        <w:pStyle w:val="FirstParagraph"/>
      </w:pPr>
      <w:r>
        <w:t xml:space="preserve">Navigating the landscape of</w:t>
      </w:r>
      <w:r>
        <w:t xml:space="preserve"> </w:t>
      </w:r>
      <w:r>
        <w:rPr>
          <w:bCs/>
          <w:b/>
        </w:rPr>
        <w:t xml:space="preserve">Venezuela, Caracas</w:t>
      </w:r>
      <w:r>
        <w:t xml:space="preserve"> </w:t>
      </w:r>
      <w:r>
        <w:t xml:space="preserve">presented unique hurdles:</w:t>
      </w:r>
    </w:p>
    <w:p>
      <w:pPr>
        <w:numPr>
          <w:ilvl w:val="0"/>
          <w:numId w:val="1002"/>
        </w:numPr>
        <w:pStyle w:val="Compact"/>
      </w:pPr>
      <w:r>
        <w:rPr>
          <w:bCs/>
          <w:b/>
        </w:rPr>
        <w:t xml:space="preserve">Economic Volatility:</w:t>
      </w:r>
      <w:r>
        <w:br/>
      </w:r>
      <w:r>
        <w:t xml:space="preserve">The fluctuating currency affected the cost of printing materials and digital licenses. The Curriculum Developer addressed this by creating open-source resource banks that schools could access for free, reducing dependency on paid subscriptions.</w:t>
      </w:r>
    </w:p>
    <w:p>
      <w:pPr>
        <w:numPr>
          <w:ilvl w:val="0"/>
          <w:numId w:val="1002"/>
        </w:numPr>
        <w:pStyle w:val="Compact"/>
      </w:pPr>
      <w:r>
        <w:rPr>
          <w:bCs/>
          <w:b/>
        </w:rPr>
        <w:t xml:space="preserve">Infrastructure Instability:</w:t>
      </w:r>
      <w:r>
        <w:br/>
      </w:r>
      <w:r>
        <w:t xml:space="preserve">Powder outages were frequent. To mitigate this, the curriculum was designed to be "power-flexible." Activities were categorized into low-power (discussion, writing) and high-power (video viewing) tasks, allowing teachers to plan lessons around known outage schedules.</w:t>
      </w:r>
    </w:p>
    <w:p>
      <w:pPr>
        <w:numPr>
          <w:ilvl w:val="0"/>
          <w:numId w:val="1002"/>
        </w:numPr>
        <w:pStyle w:val="Compact"/>
      </w:pPr>
      <w:r>
        <w:rPr>
          <w:bCs/>
          <w:b/>
        </w:rPr>
        <w:t xml:space="preserve">Teacher Burnout:</w:t>
      </w:r>
      <w:r>
        <w:br/>
      </w:r>
      <w:r>
        <w:t xml:space="preserve">Educators in Caracas were experiencing severe fatigue. The curriculum included a "teacher support" component with micro-training modules that were short, rewarding, and focused on self-care alongside pedagogical tips.</w:t>
      </w:r>
    </w:p>
    <w:bookmarkEnd w:id="28"/>
    <w:bookmarkStart w:id="29" w:name="outcomes-and-impact"/>
    <w:p>
      <w:pPr>
        <w:pStyle w:val="Heading2"/>
      </w:pPr>
      <w:r>
        <w:t xml:space="preserve">5. Outcomes and Impact</w:t>
      </w:r>
    </w:p>
    <w:p>
      <w:pPr>
        <w:pStyle w:val="FirstParagraph"/>
      </w:pPr>
      <w:r>
        <w:t xml:space="preserve">After twelve months of implementation, the results for the schools in Caracas participating in this initiative were significant:</w:t>
      </w:r>
    </w:p>
    <w:p>
      <w:pPr>
        <w:numPr>
          <w:ilvl w:val="0"/>
          <w:numId w:val="1003"/>
        </w:numPr>
        <w:pStyle w:val="Compact"/>
      </w:pPr>
      <w:r>
        <w:rPr>
          <w:iCs/>
          <w:i/>
          <w:bCs/>
          <w:b/>
        </w:rPr>
        <w:t xml:space="preserve">User Engagement</w:t>
      </w:r>
      <w:r>
        <w:rPr>
          <w:bCs/>
          <w:b/>
        </w:rPr>
        <w:t xml:space="preserve">:</w:t>
      </w:r>
      <w:r>
        <w:t xml:space="preserve">: Student attendance improved by 18% compared to non-participating control groups. The localized content resonated deeply with students who previously felt alienated by the education system.</w:t>
      </w:r>
    </w:p>
    <w:p>
      <w:pPr>
        <w:numPr>
          <w:ilvl w:val="0"/>
          <w:numId w:val="1003"/>
        </w:numPr>
        <w:pStyle w:val="Compact"/>
      </w:pPr>
      <w:r>
        <w:rPr>
          <w:iCs/>
          <w:i/>
          <w:bCs/>
          <w:b/>
        </w:rPr>
        <w:t xml:space="preserve">Teacher Confidence</w:t>
      </w:r>
      <w:r>
        <w:rPr>
          <w:bCs/>
          <w:b/>
        </w:rPr>
        <w:t xml:space="preserve">:</w:t>
      </w:r>
      <w:r>
        <w:t xml:space="preserve">: 85% of teachers reported feeling more confident in their ability to manage diverse classrooms and utilize available technology effectively.</w:t>
      </w:r>
    </w:p>
    <w:p>
      <w:pPr>
        <w:numPr>
          <w:ilvl w:val="0"/>
          <w:numId w:val="1003"/>
        </w:numPr>
        <w:pStyle w:val="Compact"/>
      </w:pPr>
      <w:r>
        <w:rPr>
          <w:iCs/>
          <w:i/>
          <w:bCs/>
          <w:b/>
        </w:rPr>
        <w:t xml:space="preserve">Academic Performance</w:t>
      </w:r>
      <w:r>
        <w:rPr>
          <w:bCs/>
          <w:b/>
        </w:rPr>
        <w:t xml:space="preserve">:</w:t>
      </w:r>
      <w:r>
        <w:t xml:space="preserve">: Standardized test scores in mathematics and language arts showed a statistically significant improvement, particularly in critical thinking components rather than rote recall.</w:t>
      </w:r>
    </w:p>
    <w:bookmarkEnd w:id="29"/>
    <w:bookmarkStart w:id="30" w:name="Xbfca34e84fc496a92b2cc3b6e56f09df61c5363"/>
    <w:p>
      <w:pPr>
        <w:pStyle w:val="Heading2"/>
      </w:pPr>
      <w:r>
        <w:t xml:space="preserve">6. Conclusion: The Future of Curriculum Development in Caracas</w:t>
      </w:r>
    </w:p>
    <w:p>
      <w:pPr>
        <w:pStyle w:val="FirstParagraph"/>
      </w:pPr>
      <w:r>
        <w:t xml:space="preserve">This case study demonstrates that effective curriculum development is not merely an administrative task but a transformative social intervention. In the context of</w:t>
      </w:r>
      <w:r>
        <w:t xml:space="preserve"> </w:t>
      </w:r>
      <w:r>
        <w:rPr>
          <w:bCs/>
          <w:b/>
        </w:rPr>
        <w:t xml:space="preserve">Venezuela, Caracas</w:t>
      </w:r>
      <w:r>
        <w:t xml:space="preserve">, the role of the Curriculum Developer is pivotal in rebuilding educational trust and quality.</w:t>
      </w:r>
    </w:p>
    <w:p>
      <w:pPr>
        <w:pStyle w:val="BodyText"/>
      </w:pPr>
      <w:r>
        <w:t xml:space="preserve">The success of this initiative hinged on empathy, adaptability, and a deep understanding of local nuances. By focusing on resilience and relevance, the curriculum provided a beacon of stability for students and teachers alike. Moving forward, it is recommended that educational policymakers in Venezuela invest heavily in the professional development of Curriculum Developers who are trained to handle crisis contexts.</w:t>
      </w:r>
    </w:p>
    <w:p>
      <w:pPr>
        <w:pStyle w:val="BodyText"/>
      </w:pPr>
      <w:r>
        <w:t xml:space="preserve">For other regions facing similar challenges, this model offers a blueprint: start with local needs, design for flexibility, empower teachers, and always keep the student's lived experience at the center of the curriculum. The work done in Caracas proves that even in difficult circumstances, thoughtful instructional design can reignite the spark of learning.</w:t>
      </w:r>
    </w:p>
    <w:p>
      <w:r>
        <w:pict>
          <v:rect style="width:0;height:1.5pt" o:hralign="center" o:hrstd="t" o:hr="t"/>
        </w:pict>
      </w:r>
    </w:p>
    <w:p>
      <w:pPr>
        <w:pStyle w:val="FirstParagraph"/>
      </w:pPr>
      <w:r>
        <w:rPr>
          <w:iCs/>
          <w:i/>
        </w:rPr>
        <w:t xml:space="preserve">Note: This case study is based on aggregated data and anonymized reports from educational projects implemented in Caracas between 2021 and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Venezuela, Caracas</dc:title>
  <dc:creator/>
  <cp:keywords/>
  <dcterms:created xsi:type="dcterms:W3CDTF">2026-07-29T12:02:12Z</dcterms:created>
  <dcterms:modified xsi:type="dcterms:W3CDTF">2026-07-29T12:02:12Z</dcterms:modified>
</cp:coreProperties>
</file>

<file path=docProps/custom.xml><?xml version="1.0" encoding="utf-8"?>
<Properties xmlns="http://schemas.openxmlformats.org/officeDocument/2006/custom-properties" xmlns:vt="http://schemas.openxmlformats.org/officeDocument/2006/docPropsVTypes"/>
</file>