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Digital</w:t>
      </w:r>
      <w:r>
        <w:t xml:space="preserve"> </w:t>
      </w:r>
      <w:r>
        <w:t xml:space="preserve">Transformation</w:t>
      </w:r>
      <w:r>
        <w:t xml:space="preserve"> </w:t>
      </w:r>
      <w:r>
        <w:t xml:space="preserve">and</w:t>
      </w:r>
      <w:r>
        <w:t xml:space="preserve"> </w:t>
      </w:r>
      <w:r>
        <w:t xml:space="preserve">Patient-Centric</w:t>
      </w:r>
      <w:r>
        <w:t xml:space="preserve"> </w:t>
      </w:r>
      <w:r>
        <w:t xml:space="preserve">Care</w:t>
      </w:r>
      <w:r>
        <w:t xml:space="preserve"> </w:t>
      </w:r>
      <w:r>
        <w:t xml:space="preserve">in</w:t>
      </w:r>
      <w:r>
        <w:t xml:space="preserve"> </w:t>
      </w:r>
      <w:r>
        <w:t xml:space="preserve">a</w:t>
      </w:r>
      <w:r>
        <w:t xml:space="preserve"> </w:t>
      </w:r>
      <w:r>
        <w:t xml:space="preserve">Modern</w:t>
      </w:r>
      <w:r>
        <w:t xml:space="preserve"> </w:t>
      </w:r>
      <w:r>
        <w:t xml:space="preserve">Dental</w:t>
      </w:r>
      <w:r>
        <w:t xml:space="preserve"> </w:t>
      </w:r>
      <w:r>
        <w:t xml:space="preserve">Practice,</w:t>
      </w:r>
      <w:r>
        <w:t xml:space="preserve"> </w:t>
      </w:r>
      <w:r>
        <w:t xml:space="preserve">Germany</w:t>
      </w:r>
      <w:r>
        <w:t xml:space="preserve"> </w:t>
      </w:r>
      <w:r>
        <w:t xml:space="preserve">Berlin</w:t>
      </w:r>
    </w:p>
    <w:bookmarkStart w:id="34" w:name="Xfd0480f99d00c70610c311bd610383157e3d696"/>
    <w:p>
      <w:pPr>
        <w:pStyle w:val="Heading1"/>
      </w:pPr>
      <w:r>
        <w:t xml:space="preserve">Case Study: Establishing a High-Performance Dental Practice in Germany Berlin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Implementation Phase</w:t>
      </w:r>
      <w:r>
        <w:br/>
      </w:r>
      <w:r>
        <w:rPr>
          <w:bCs/>
          <w:b/>
        </w:rPr>
        <w:t xml:space="preserve">Focused Entities:</w:t>
      </w:r>
    </w:p>
    <w:bookmarkStart w:id="20" w:name="executive-summary"/>
    <w:p>
      <w:pPr>
        <w:pStyle w:val="Heading2"/>
      </w:pPr>
      <w:r>
        <w:t xml:space="preserve">Executive Summary</w:t>
      </w:r>
    </w:p>
    <w:p>
      <w:pPr>
        <w:pStyle w:val="FirstParagraph"/>
      </w:pPr>
      <w:r>
        <w:t xml:space="preserve">The landscape of healthcare in</w:t>
      </w:r>
      <w:r>
        <w:t xml:space="preserve"> </w:t>
      </w:r>
      <w:r>
        <w:rPr>
          <w:bCs/>
          <w:b/>
          <w:iCs/>
          <w:i/>
        </w:rPr>
        <w:t xml:space="preserve">Dentistry in Germany Berlin</w:t>
      </w:r>
      <w:r>
        <w:t xml:space="preserve">Germany Berlin. The primary objective was to create a patient-centric environment that distinguishes itself through superior clinical outcomes, digital integration, and transparent pricing, addressing specific pain points identified within the urban healthcare sector. By analyzing the challenges faced by this</w:t>
      </w:r>
      <w:r>
        <w:t xml:space="preserve"> </w:t>
      </w:r>
      <w:r>
        <w:rPr>
          <w:iCs/>
          <w:i/>
        </w:rPr>
        <w:t xml:space="preserve">Dentist</w:t>
      </w:r>
      <w:r>
        <w:t xml:space="preserve"> </w:t>
      </w:r>
      <w:r>
        <w:t xml:space="preserve">practice in a dense metropolitan area like Berlin, we can derive actionable insights for healthcare providers aiming to optimize service delivery and patient satisfaction.</w:t>
      </w:r>
    </w:p>
    <w:bookmarkEnd w:id="20"/>
    <w:bookmarkStart w:id="21" w:name="X9735fbf19f72f5676ae7885d937c3bd5c5233d2"/>
    <w:p>
      <w:pPr>
        <w:pStyle w:val="Heading2"/>
      </w:pPr>
      <w:r>
        <w:t xml:space="preserve">Background: The Context of Dentistry in Germany Berlin</w:t>
      </w:r>
    </w:p>
    <w:p>
      <w:pPr>
        <w:pStyle w:val="FirstParagraph"/>
      </w:pPr>
      <w:r>
        <w:t xml:space="preserve">Berlin is not only the capital of</w:t>
      </w:r>
      <w:r>
        <w:t xml:space="preserve"> </w:t>
      </w:r>
      <w:r>
        <w:rPr>
          <w:bCs/>
          <w:b/>
        </w:rPr>
        <w:t xml:space="preserve">Germany</w:t>
      </w:r>
      <w:r>
        <w:t xml:space="preserve"> </w:t>
      </w:r>
      <w:r>
        <w:t xml:space="preserve">but also a hub for international business and tourism. Consequently, the demand for high-quality medical services is immense. However, finding an available appointment with a trusted</w:t>
      </w:r>
      <w:r>
        <w:t xml:space="preserve"> </w:t>
      </w:r>
      <w:r>
        <w:rPr>
          <w:iCs/>
          <w:i/>
        </w:rPr>
        <w:t xml:space="preserve">Dentist</w:t>
      </w:r>
      <w:r>
        <w:t xml:space="preserve"> </w:t>
      </w:r>
      <w:r>
        <w:t xml:space="preserve">in central Berlin can be notoriously difficult due to long waiting lists and high patient turnover. The local market is saturated with general practitioners and specialists alike, creating a competitive environment where differentiation is key.</w:t>
      </w:r>
    </w:p>
    <w:p>
      <w:pPr>
        <w:pStyle w:val="BodyText"/>
      </w:pPr>
      <w:r>
        <w:t xml:space="preserve">In the context of</w:t>
      </w:r>
      <w:r>
        <w:t xml:space="preserve"> </w:t>
      </w:r>
      <w:r>
        <w:rPr>
          <w:bCs/>
          <w:b/>
        </w:rPr>
        <w:t xml:space="preserve">Germany Berlin</w:t>
      </w:r>
      <w:r>
        <w:t xml:space="preserve">, patients are increasingly educated regarding their health rights and treatment options. They seek transparency regarding costs, especially given the mixed public-private insurance system prevalent in the country. Furthermore, as a modern metropolis with strong environmental and digital standards, there is an expectation for eco-friendly practices and seamless digital integration. For any</w:t>
      </w:r>
      <w:r>
        <w:t xml:space="preserve"> </w:t>
      </w:r>
      <w:r>
        <w:rPr>
          <w:iCs/>
          <w:i/>
        </w:rPr>
        <w:t xml:space="preserve">Dentist</w:t>
      </w:r>
      <w:r>
        <w:t xml:space="preserve"> </w:t>
      </w:r>
      <w:r>
        <w:t xml:space="preserve">operating in this region, ignoring these local nuances leads to rapid obsolescence of their business model.</w:t>
      </w:r>
    </w:p>
    <w:bookmarkEnd w:id="21"/>
    <w:bookmarkStart w:id="22" w:name="the-challenge"/>
    <w:p>
      <w:pPr>
        <w:pStyle w:val="Heading2"/>
      </w:pPr>
      <w:r>
        <w:t xml:space="preserve">The Challenge</w:t>
      </w:r>
    </w:p>
    <w:p>
      <w:pPr>
        <w:pStyle w:val="FirstParagraph"/>
      </w:pPr>
      <w:r>
        <w:t xml:space="preserve">The central challenge faced by the practice founders was twofold: overcoming the skepticism of new patients toward a new</w:t>
      </w:r>
      <w:r>
        <w:t xml:space="preserve"> </w:t>
      </w:r>
      <w:r>
        <w:rPr>
          <w:iCs/>
          <w:i/>
        </w:rPr>
        <w:t xml:space="preserve">Dentist</w:t>
      </w:r>
      <w:r>
        <w:t xml:space="preserve">, and managing operational efficiency in a high-cost urban environment. Specifically, the following issues needed resolution:</w:t>
      </w:r>
    </w:p>
    <w:p>
      <w:pPr>
        <w:numPr>
          <w:ilvl w:val="0"/>
          <w:numId w:val="1001"/>
        </w:numPr>
        <w:pStyle w:val="Compact"/>
      </w:pPr>
      <w:r>
        <w:rPr>
          <w:bCs/>
          <w:b/>
        </w:rPr>
        <w:t xml:space="preserve">Patient Acquisition:</w:t>
      </w:r>
      <w:r>
        <w:t xml:space="preserve"> </w:t>
      </w:r>
      <w:r>
        <w:t xml:space="preserve">How to attract patients who are currently hesitant to switch from established long-term practitioners in Berlin.</w:t>
      </w:r>
    </w:p>
    <w:p>
      <w:pPr>
        <w:numPr>
          <w:ilvl w:val="0"/>
          <w:numId w:val="1001"/>
        </w:numPr>
        <w:pStyle w:val="Compact"/>
      </w:pPr>
      <w:r>
        <w:rPr>
          <w:bCs/>
          <w:b/>
        </w:rPr>
        <w:t xml:space="preserve">Digital Integration:</w:t>
      </w:r>
      <w:r>
        <w:t xml:space="preserve"> </w:t>
      </w:r>
      <w:r>
        <w:t xml:space="preserve">The need for a fully digital workflow, from appointment booking to digital X-rays and intraoral scanning, to reduce wait times and improve diagnostic accuracy.</w:t>
      </w:r>
    </w:p>
    <w:p>
      <w:pPr>
        <w:numPr>
          <w:ilvl w:val="0"/>
          <w:numId w:val="1001"/>
        </w:numPr>
        <w:pStyle w:val="Compact"/>
      </w:pPr>
      <w:r>
        <w:rPr>
          <w:bCs/>
          <w:b/>
        </w:rPr>
        <w:t xml:space="preserve">Regulatory Compliance:</w:t>
      </w:r>
      <w:r>
        <w:t xml:space="preserve">Germany Berlin.</w:t>
      </w:r>
    </w:p>
    <w:p>
      <w:pPr>
        <w:numPr>
          <w:ilvl w:val="0"/>
          <w:numId w:val="1001"/>
        </w:numPr>
        <w:pStyle w:val="Compact"/>
      </w:pPr>
      <w:r>
        <w:rPr>
          <w:bCs/>
          <w:b/>
        </w:rPr>
        <w:t xml:space="preserve">Linguistic Diversity:</w:t>
      </w:r>
      <w:r>
        <w:t xml:space="preserve"> </w:t>
      </w:r>
      <w:r>
        <w:t xml:space="preserve">Serving a population that includes expatriates, students, and locals requires multilingual support staff.</w:t>
      </w:r>
    </w:p>
    <w:bookmarkEnd w:id="22"/>
    <w:bookmarkStart w:id="26" w:name="Xacd29c7b063f3e914a4ff129b85efec6166014b"/>
    <w:p>
      <w:pPr>
        <w:pStyle w:val="Heading2"/>
      </w:pPr>
      <w:r>
        <w:t xml:space="preserve">The Solution: A Holistic Approach to Dental Care</w:t>
      </w:r>
    </w:p>
    <w:bookmarkStart w:id="23" w:name="digital-first-infrastructure"/>
    <w:p>
      <w:pPr>
        <w:pStyle w:val="Heading3"/>
      </w:pPr>
      <w:r>
        <w:t xml:space="preserve">Digital-First Infrastructure</w:t>
      </w:r>
    </w:p>
    <w:p>
      <w:pPr>
        <w:pStyle w:val="FirstParagraph"/>
      </w:pPr>
      <w:r>
        <w:t xml:space="preserve">To address the efficiency gap, the</w:t>
      </w:r>
      <w:r>
        <w:t xml:space="preserve"> </w:t>
      </w:r>
      <w:r>
        <w:rPr>
          <w:iCs/>
          <w:i/>
        </w:rPr>
        <w:t xml:space="preserve">Dentist</w:t>
      </w:r>
      <w:r>
        <w:t xml:space="preserve">, Dr. Elena Weber, implemented a state-of-the-art digital infrastructure. This included chairside CAD/CAM systems for same-day crowns and bridges, significantly reducing patient visits from three to one. The practice utilized an AI-driven scheduling system that integrates with local health insurance databases common in</w:t>
      </w:r>
      <w:r>
        <w:t xml:space="preserve"> </w:t>
      </w:r>
      <w:r>
        <w:rPr>
          <w:bCs/>
          <w:b/>
        </w:rPr>
        <w:t xml:space="preserve">Germany Berlin</w:t>
      </w:r>
      <w:r>
        <w:t xml:space="preserve">. This reduced administrative friction and allowed the clinical team to focus entirely on patient care.</w:t>
      </w:r>
    </w:p>
    <w:bookmarkEnd w:id="23"/>
    <w:bookmarkStart w:id="24" w:name="patient-centric-communication"/>
    <w:p>
      <w:pPr>
        <w:pStyle w:val="Heading3"/>
      </w:pPr>
      <w:r>
        <w:t xml:space="preserve">Patient-Centric Communication</w:t>
      </w:r>
    </w:p>
    <w:p>
      <w:pPr>
        <w:pStyle w:val="FirstParagraph"/>
      </w:pPr>
      <w:r>
        <w:t xml:space="preserve">A major barrier in Berlin’s dental sector is the communication gap between technical jargon and patient understanding. The practice introduced "Visual Treatment Objectives" (VTO), using augmented reality apps during consultations. This allowed patients to see predicted outcomes for implants or orthodontics before committing, fostering trust and informed consent—a critical component for any reputable</w:t>
      </w:r>
      <w:r>
        <w:t xml:space="preserve"> </w:t>
      </w:r>
      <w:r>
        <w:rPr>
          <w:iCs/>
          <w:i/>
        </w:rPr>
        <w:t xml:space="preserve">Dentist</w:t>
      </w:r>
      <w:r>
        <w:t xml:space="preserve"> </w:t>
      </w:r>
      <w:r>
        <w:t xml:space="preserve">in the German market.</w:t>
      </w:r>
    </w:p>
    <w:bookmarkEnd w:id="24"/>
    <w:bookmarkStart w:id="25" w:name="eco-friendly-and-ethical-sourcing"/>
    <w:p>
      <w:pPr>
        <w:pStyle w:val="Heading3"/>
      </w:pPr>
      <w:r>
        <w:t xml:space="preserve">Eco-Friendly and Ethical Sourcing</w:t>
      </w:r>
    </w:p>
    <w:p>
      <w:pPr>
        <w:pStyle w:val="FirstParagraph"/>
      </w:pPr>
      <w:r>
        <w:t xml:space="preserve">In alignment with Berlin’s strong environmental ethos, the clinic eliminated single-use plastics where clinically safe alternatives existed. Amalgam separators were installed to comply with strict EU mercury regulations. This commitment to sustainability resonated deeply with the local demographic, serving as a unique selling proposition for new patients in</w:t>
      </w:r>
      <w:r>
        <w:t xml:space="preserve"> </w:t>
      </w:r>
      <w:r>
        <w:rPr>
          <w:bCs/>
          <w:b/>
        </w:rPr>
        <w:t xml:space="preserve">Germany Berlin</w:t>
      </w:r>
      <w:r>
        <w:t xml:space="preserve">.</w:t>
      </w:r>
    </w:p>
    <w:bookmarkEnd w:id="25"/>
    <w:bookmarkEnd w:id="26"/>
    <w:bookmarkStart w:id="28" w:name="implementation-and-results"/>
    <w:p>
      <w:pPr>
        <w:pStyle w:val="Heading2"/>
      </w:pPr>
      <w:r>
        <w:t xml:space="preserve">Implementation and Results</w:t>
      </w:r>
    </w:p>
    <w:p>
      <w:pPr>
        <w:pStyle w:val="FirstParagraph"/>
      </w:pPr>
      <w:r>
        <w:t xml:space="preserve">The rollout of these strategies occurred over a six-month period. Key metrics were tracked monthly to assess the impact on patient volume, retention, and satisfaction.</w:t>
      </w:r>
    </w:p>
    <w:bookmarkStart w:id="27" w:name="quantitative-outcomes-after-12-months"/>
    <w:p>
      <w:pPr>
        <w:pStyle w:val="Heading3"/>
      </w:pPr>
      <w:r>
        <w:t xml:space="preserve">Quantitative Outcomes after 12 Months:</w:t>
      </w:r>
    </w:p>
    <w:p>
      <w:pPr>
        <w:numPr>
          <w:ilvl w:val="0"/>
          <w:numId w:val="1002"/>
        </w:numPr>
        <w:pStyle w:val="Compact"/>
      </w:pPr>
      <w:r>
        <w:rPr>
          <w:bCs/>
          <w:b/>
        </w:rPr>
        <w:t xml:space="preserve">Patient Volume:</w:t>
      </w:r>
      <w:r>
        <w:t xml:space="preserve"> </w:t>
      </w:r>
      <w:r>
        <w:t xml:space="preserve">Increased by 45% compared to initial projections for a new practice in this district of Berlin.</w:t>
      </w:r>
    </w:p>
    <w:p>
      <w:pPr>
        <w:numPr>
          <w:ilvl w:val="0"/>
          <w:numId w:val="1002"/>
        </w:numPr>
        <w:pStyle w:val="Compact"/>
      </w:pPr>
      <w:r>
        <w:rPr>
          <w:bCs/>
          <w:b/>
        </w:rPr>
        <w:t xml:space="preserve">No-Show Rate:</w:t>
      </w:r>
      <w:r>
        <w:t xml:space="preserve"> </w:t>
      </w:r>
      <w:r>
        <w:t xml:space="preserve">Reduced from the industry average of 18% to just 6%, attributed to automated SMS reminders and easy online rescheduling.</w:t>
      </w:r>
    </w:p>
    <w:p>
      <w:pPr>
        <w:numPr>
          <w:ilvl w:val="0"/>
          <w:numId w:val="1002"/>
        </w:numPr>
        <w:pStyle w:val="Compact"/>
      </w:pPr>
      <w:r>
        <w:rPr>
          <w:bCs/>
          <w:b/>
        </w:rPr>
        <w:t xml:space="preserve">Patient Satisfaction Score:</w:t>
      </w:r>
      <w:r>
        <w:t xml:space="preserve"> </w:t>
      </w:r>
      <w:r>
        <w:t xml:space="preserve">Achieved a Net Promoter Score (NPS) of +72, indicating strong loyalty and word-of-mouth referrals.</w:t>
      </w:r>
    </w:p>
    <w:p>
      <w:pPr>
        <w:numPr>
          <w:ilvl w:val="0"/>
          <w:numId w:val="1002"/>
        </w:numPr>
        <w:pStyle w:val="Compact"/>
      </w:pPr>
      <w:r>
        <w:rPr>
          <w:bCs/>
          <w:b/>
        </w:rPr>
        <w:t xml:space="preserve">Treatment Acceptance:</w:t>
      </w:r>
      <w:r>
        <w:t xml:space="preserve"> </w:t>
      </w:r>
      <w:r>
        <w:t xml:space="preserve">Due to improved visualization tools, the acceptance rate for complex treatments such as implants increased by 30%.</w:t>
      </w:r>
    </w:p>
    <w:bookmarkEnd w:id="27"/>
    <w:bookmarkEnd w:id="28"/>
    <w:bookmarkStart w:id="29" w:name="linguistic-and-cultural-adaptation"/>
    <w:p>
      <w:pPr>
        <w:pStyle w:val="Heading2"/>
      </w:pPr>
      <w:r>
        <w:t xml:space="preserve">Linguistic and Cultural Adaptation</w:t>
      </w:r>
    </w:p>
    <w:p>
      <w:pPr>
        <w:pStyle w:val="FirstParagraph"/>
      </w:pPr>
      <w:r>
        <w:t xml:space="preserve">A critical success factor was the hiring of bilingual administrative staff. In</w:t>
      </w:r>
      <w:r>
        <w:t xml:space="preserve"> </w:t>
      </w:r>
      <w:r>
        <w:rPr>
          <w:bCs/>
          <w:b/>
        </w:rPr>
        <w:t xml:space="preserve">Germany Berlin</w:t>
      </w:r>
      <w:r>
        <w:t xml:space="preserve">, a significant portion of the population speaks English, Turkish, Arabic, or other languages alongside German. The</w:t>
      </w:r>
      <w:r>
        <w:t xml:space="preserve"> </w:t>
      </w:r>
      <w:r>
        <w:rPr>
          <w:iCs/>
          <w:i/>
        </w:rPr>
        <w:t xml:space="preserve">Dentist</w:t>
      </w:r>
      <w:r>
        <w:t xml:space="preserve"> </w:t>
      </w:r>
      <w:r>
        <w:t xml:space="preserve">team ensured that all consent forms and post-care instructions were available in four primary languages. This inclusivity not only expanded the patient base but also reduced legal risks associated with miscommunication.</w:t>
      </w:r>
    </w:p>
    <w:bookmarkEnd w:id="29"/>
    <w:bookmarkStart w:id="30" w:name="financial-analysis"/>
    <w:p>
      <w:pPr>
        <w:pStyle w:val="Heading2"/>
      </w:pPr>
      <w:r>
        <w:t xml:space="preserve">Financial Analysis</w:t>
      </w:r>
    </w:p>
    <w:p>
      <w:pPr>
        <w:pStyle w:val="FirstParagraph"/>
      </w:pPr>
      <w:r>
        <w:t xml:space="preserve">The initial investment in digital technology was high, costing approximately €150,000 more than a traditional setup. However, the return on investment (ROI) was realized within 18 months. The efficiency gains from same-day restorations allowed the</w:t>
      </w:r>
      <w:r>
        <w:t xml:space="preserve"> </w:t>
      </w:r>
      <w:r>
        <w:rPr>
          <w:iCs/>
          <w:i/>
        </w:rPr>
        <w:t xml:space="preserve">Dentist</w:t>
      </w:r>
      <w:r>
        <w:t xml:space="preserve"> </w:t>
      </w:r>
      <w:r>
        <w:t xml:space="preserve">to see two additional patients per day without increasing working hours significantly. Furthermore, the reduction in material waste through digital precision contributed to operational savings.</w:t>
      </w:r>
    </w:p>
    <w:bookmarkEnd w:id="30"/>
    <w:bookmarkStart w:id="31" w:name="X235173f032bc342371341179b1016990fb3acf8"/>
    <w:p>
      <w:pPr>
        <w:pStyle w:val="Heading2"/>
      </w:pPr>
      <w:r>
        <w:t xml:space="preserve">Discussion: The Role of Reputation in Germany Berlin</w:t>
      </w:r>
    </w:p>
    <w:p>
      <w:pPr>
        <w:pStyle w:val="FirstParagraph"/>
      </w:pPr>
      <w:r>
        <w:t xml:space="preserve">In the German healthcare system, reputation is paramount. Unlike some markets where advertising is heavily reliant on flashy marketing, patients in</w:t>
      </w:r>
      <w:r>
        <w:t xml:space="preserve"> </w:t>
      </w:r>
      <w:r>
        <w:rPr>
          <w:bCs/>
          <w:b/>
        </w:rPr>
        <w:t xml:space="preserve">Germany Berlin</w:t>
      </w:r>
      <w:r>
        <w:t xml:space="preserve"> </w:t>
      </w:r>
      <w:r>
        <w:t xml:space="preserve">rely heavily on peer reviews and professional recommendations. The case study highlights that building trust takes time but yields high retention rates once established. The transparent pricing model—clearly outlining what is covered by public insurance versus private out-of-pocket costs—was cited as the primary reason new patients chose this</w:t>
      </w:r>
      <w:r>
        <w:t xml:space="preserve"> </w:t>
      </w:r>
      <w:r>
        <w:rPr>
          <w:iCs/>
          <w:i/>
        </w:rPr>
        <w:t xml:space="preserve">Dentist</w:t>
      </w:r>
      <w:r>
        <w:t xml:space="preserve"> </w:t>
      </w:r>
      <w:r>
        <w:t xml:space="preserve">over competitors.</w:t>
      </w:r>
    </w:p>
    <w:bookmarkEnd w:id="31"/>
    <w:bookmarkStart w:id="32" w:name="conclusion"/>
    <w:p>
      <w:pPr>
        <w:pStyle w:val="Heading2"/>
      </w:pPr>
      <w:r>
        <w:t xml:space="preserve">Conclusion</w:t>
      </w:r>
    </w:p>
    <w:p>
      <w:pPr>
        <w:pStyle w:val="FirstParagraph"/>
      </w:pPr>
      <w:r>
        <w:t xml:space="preserve">This case study demonstrates that success in the dental sector within</w:t>
      </w:r>
      <w:r>
        <w:t xml:space="preserve"> </w:t>
      </w:r>
      <w:r>
        <w:rPr>
          <w:bCs/>
          <w:b/>
        </w:rPr>
        <w:t xml:space="preserve">Germany Berlin</w:t>
      </w:r>
      <w:r>
        <w:t xml:space="preserve"> </w:t>
      </w:r>
      <w:r>
        <w:t xml:space="preserve">requires more than just clinical excellence. It demands a strategic blend of digital innovation, cultural sensitivity, and rigorous adherence to local regulations. For any aspiring or existing</w:t>
      </w:r>
      <w:r>
        <w:t xml:space="preserve"> </w:t>
      </w:r>
      <w:r>
        <w:rPr>
          <w:iCs/>
          <w:i/>
        </w:rPr>
        <w:t xml:space="preserve">Dentist</w:t>
      </w:r>
      <w:r>
        <w:t xml:space="preserve">, the lessons from this Berlin-based practice are clear: prioritize patient experience through technology and transparency.</w:t>
      </w:r>
    </w:p>
    <w:p>
      <w:pPr>
        <w:pStyle w:val="BodyText"/>
      </w:pPr>
      <w:r>
        <w:t xml:space="preserve">The integration of advanced digital tools has not only improved clinical outcomes but also redefined the patient-provider relationship. By addressing the specific needs of a diverse, urban population in</w:t>
      </w:r>
      <w:r>
        <w:t xml:space="preserve"> </w:t>
      </w:r>
      <w:r>
        <w:rPr>
          <w:bCs/>
          <w:b/>
        </w:rPr>
        <w:t xml:space="preserve">Germany Berlin</w:t>
      </w:r>
      <w:r>
        <w:t xml:space="preserve">, "Zahnklinik Mitte" has become a model for modern dental practice management. As healthcare continues to evolve, practices that adapt early to these changing dynamics will secure long-term viability and growth.</w:t>
      </w:r>
    </w:p>
    <w:bookmarkEnd w:id="32"/>
    <w:bookmarkStart w:id="33" w:name="recommendations-for-future-dentists"/>
    <w:p>
      <w:pPr>
        <w:pStyle w:val="Heading2"/>
      </w:pPr>
      <w:r>
        <w:t xml:space="preserve">Recommendations for Future Dentists</w:t>
      </w:r>
    </w:p>
    <w:p>
      <w:pPr>
        <w:numPr>
          <w:ilvl w:val="0"/>
          <w:numId w:val="1003"/>
        </w:numPr>
        <w:pStyle w:val="Compact"/>
      </w:pPr>
      <w:r>
        <w:rPr>
          <w:bCs/>
          <w:b/>
        </w:rPr>
        <w:t xml:space="preserve">Leverage Technology:</w:t>
      </w:r>
      <w:r>
        <w:t xml:space="preserve"> </w:t>
      </w:r>
      <w:r>
        <w:t xml:space="preserve">Invest in digital diagnostics and CAD/CAM systems to improve efficiency.</w:t>
      </w:r>
    </w:p>
    <w:p>
      <w:pPr>
        <w:numPr>
          <w:ilvl w:val="0"/>
          <w:numId w:val="1003"/>
        </w:numPr>
        <w:pStyle w:val="Compact"/>
      </w:pPr>
      <w:r>
        <w:rPr>
          <w:bCs/>
          <w:b/>
        </w:rPr>
        <w:t xml:space="preserve">Prioritize Transparency:</w:t>
      </w:r>
      <w:r>
        <w:t xml:space="preserve"> </w:t>
      </w:r>
      <w:r>
        <w:t xml:space="preserve">Clearly communicate costs and treatment options to build trust in the competitive Berlin market.</w:t>
      </w:r>
    </w:p>
    <w:p>
      <w:pPr>
        <w:numPr>
          <w:ilvl w:val="0"/>
          <w:numId w:val="1003"/>
        </w:numPr>
        <w:pStyle w:val="Compact"/>
      </w:pPr>
      <w:r>
        <w:rPr>
          <w:bCs/>
          <w:b/>
        </w:rPr>
        <w:t xml:space="preserve">Diversify Staffing:</w:t>
      </w:r>
      <w:r>
        <w:t xml:space="preserve"> </w:t>
      </w:r>
      <w:r>
        <w:t xml:space="preserve">Ensure multilingual support to cater to the international demographic of</w:t>
      </w:r>
      <w:r>
        <w:t xml:space="preserve"> </w:t>
      </w:r>
      <w:r>
        <w:rPr>
          <w:bCs/>
          <w:b/>
        </w:rPr>
        <w:t xml:space="preserve">Germany Berlin</w:t>
      </w:r>
      <w:r>
        <w:t xml:space="preserve">.</w:t>
      </w:r>
    </w:p>
    <w:p>
      <w:pPr>
        <w:numPr>
          <w:ilvl w:val="0"/>
          <w:numId w:val="1003"/>
        </w:numPr>
        <w:pStyle w:val="Compact"/>
      </w:pPr>
      <w:r>
        <w:rPr>
          <w:bCs/>
          <w:b/>
        </w:rPr>
        <w:t xml:space="preserve">Focus on Sustainability:</w:t>
      </w:r>
      <w:r>
        <w:t xml:space="preserve"> </w:t>
      </w:r>
      <w:r>
        <w:t xml:space="preserve">Adopt eco-friendly practices that align with local values and regulations.</w:t>
      </w:r>
    </w:p>
    <w:p>
      <w:pPr>
        <w:pStyle w:val="FirstParagraph"/>
      </w:pPr>
      <w:r>
        <w:t xml:space="preserve">This case study serves as a comprehensive guide for understanding the nuances of establishing a successful dental practice in one of Europe’s most dynamic healthcare environments.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Digital Transformation and Patient-Centric Care in a Modern Dental Practice, Germany Berlin</dc:title>
  <dc:creator/>
  <cp:keywords/>
  <dcterms:created xsi:type="dcterms:W3CDTF">2026-07-29T04:00:51Z</dcterms:created>
  <dcterms:modified xsi:type="dcterms:W3CDTF">2026-07-29T04:00:51Z</dcterms:modified>
</cp:coreProperties>
</file>

<file path=docProps/custom.xml><?xml version="1.0" encoding="utf-8"?>
<Properties xmlns="http://schemas.openxmlformats.org/officeDocument/2006/custom-properties" xmlns:vt="http://schemas.openxmlformats.org/officeDocument/2006/docPropsVTypes"/>
</file>