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31b9b75c3857a7ebf59ff49e43baa53371f2c0"/>
    <w:p>
      <w:pPr>
        <w:pStyle w:val="Heading1"/>
      </w:pPr>
      <w:r>
        <w:t xml:space="preserve">A Strategic Case Study: Establishing a Premier Dental Practice in Myanmar, Yangon</w:t>
      </w:r>
    </w:p>
    <w:p>
      <w:pPr>
        <w:pStyle w:val="FirstParagraph"/>
      </w:pPr>
      <w:r>
        <w:rPr>
          <w:bCs/>
          <w:b/>
        </w:rPr>
        <w:t xml:space="preserve">Date:</w:t>
      </w:r>
      <w:r>
        <w:t xml:space="preserve"> </w:t>
      </w:r>
      <w:r>
        <w:t xml:space="preserve">October 2023</w:t>
      </w:r>
      <w:r>
        <w:br/>
      </w:r>
      <w:r>
        <w:rPr>
          <w:bCs/>
          <w:b/>
        </w:rPr>
        <w:t xml:space="preserve">Status:</w:t>
      </w:r>
      <w:r>
        <w:t xml:space="preserve">In Progress / Analysis Phase</w:t>
      </w:r>
      <w:r>
        <w:br/>
      </w:r>
      <w:r>
        <w:rPr>
          <w:bCs/>
          <w:b/>
        </w:rPr>
        <w:t xml:space="preserve">Focal Region:</w:t>
      </w:r>
      <w:r>
        <w:t xml:space="preserve">Downtown Yangon, Myanmar</w:t>
      </w:r>
    </w:p>
    <w:bookmarkStart w:id="20" w:name="executive-summary"/>
    <w:p>
      <w:pPr>
        <w:pStyle w:val="Heading2"/>
      </w:pPr>
      <w:r>
        <w:t xml:space="preserve">Executive Summary</w:t>
      </w:r>
    </w:p>
    <w:p>
      <w:pPr>
        <w:pStyle w:val="FirstParagraph"/>
      </w:pPr>
      <w:r>
        <w:t xml:space="preserve">This case study examines the strategic development and operational challenges of launching a mid-to-high-end</w:t>
      </w:r>
      <w:r>
        <w:t xml:space="preserve"> </w:t>
      </w:r>
      <w:r>
        <w:t xml:space="preserve">Dentist</w:t>
      </w:r>
      <w:r>
        <w:t xml:space="preserve"> </w:t>
      </w:r>
      <w:r>
        <w:t xml:space="preserve">practice in the capital city of Myanmar, Yangon. As Myanmar undergoes significant economic shifts and urbanization, the demand for specialized healthcare services is rising. However, operating within this specific geopolitical and economic context presents unique hurdles. This document explores how a modern dental clinic adapted to local realities while maintaining international standards of care.</w:t>
      </w:r>
    </w:p>
    <w:bookmarkEnd w:id="20"/>
    <w:bookmarkStart w:id="21" w:name="market-context-in-myanmar"/>
    <w:p>
      <w:pPr>
        <w:pStyle w:val="Heading2"/>
      </w:pPr>
      <w:r>
        <w:t xml:space="preserve">1. Market Context in Myanmar</w:t>
      </w:r>
    </w:p>
    <w:p>
      <w:pPr>
        <w:pStyle w:val="FirstParagraph"/>
      </w:pPr>
      <w:r>
        <w:t xml:space="preserve">The healthcare sector in Myanmar has historically faced infrastructure deficits, particularly outside of major medical centers. In recent years, however, the middle class in Yangon has expanded significantly. This demographic shift has created a new appetite for aesthetic and preventive dental care that goes beyond basic emergency extraction services. Patients are increasingly seeking orthodontics (braces), veneers, and implantology—services that were previously considered luxuries or unavailable locally with high quality.</w:t>
      </w:r>
    </w:p>
    <w:p>
      <w:pPr>
        <w:pStyle w:val="BodyText"/>
      </w:pPr>
      <w:r>
        <w:t xml:space="preserve">The competitive landscape in Yangon is fragmented. While there are numerous traditional clinics, few offer the combination of advanced digital technology, sterile environments comparable to Western standards, and bilingual customer service. This gap presents a clear opportunity for a brand that positions itself as the trusted authority on oral health in Myanmar.</w:t>
      </w:r>
    </w:p>
    <w:bookmarkEnd w:id="21"/>
    <w:bookmarkStart w:id="22" w:name="Xe899ed1e5c409cf13365d2bb35ce5d4c0e058f3"/>
    <w:p>
      <w:pPr>
        <w:pStyle w:val="Heading2"/>
      </w:pPr>
      <w:r>
        <w:t xml:space="preserve">2. Operational Challenges: The 'Dentist' Factor</w:t>
      </w:r>
    </w:p>
    <w:p>
      <w:pPr>
        <w:pStyle w:val="FirstParagraph"/>
      </w:pPr>
      <w:r>
        <w:t xml:space="preserve">Finding qualified personnel remains one of the most significant hurdles for any dental practice in this region. While there are many dental graduates from local universities, specialized training in complex procedures is limited. Consequently, the</w:t>
      </w:r>
      <w:r>
        <w:t xml:space="preserve"> </w:t>
      </w:r>
      <w:r>
        <w:t xml:space="preserve">Dentist</w:t>
      </w:r>
      <w:r>
        <w:t xml:space="preserve"> </w:t>
      </w:r>
      <w:r>
        <w:t xml:space="preserve">must often rely on extensive continuous professional development or recruit experienced practitioners from neighboring countries such as Thailand or India to fill senior clinical roles.</w:t>
      </w:r>
    </w:p>
    <w:p>
      <w:pPr>
        <w:pStyle w:val="BodyText"/>
      </w:pPr>
      <w:r>
        <w:t xml:space="preserve">Furthermore, supply chain reliability is a critical operational risk. Importing dental materials—from composite resins and anesthesia to advanced imaging machines—depends heavily on customs procedures and foreign currency availability. The practice had to establish robust relationships with multiple suppliers and maintain higher inventory buffers than typical clinics in more stable markets to prevent treatment delays.</w:t>
      </w:r>
    </w:p>
    <w:bookmarkEnd w:id="22"/>
    <w:bookmarkStart w:id="23" w:name="location-strategy-why-myanmar-yangon"/>
    <w:p>
      <w:pPr>
        <w:pStyle w:val="Heading2"/>
      </w:pPr>
      <w:r>
        <w:t xml:space="preserve">3. Location Strategy: Why Myanmar, Yangon?</w:t>
      </w:r>
    </w:p>
    <w:p>
      <w:pPr>
        <w:pStyle w:val="FirstParagraph"/>
      </w:pPr>
      <w:r>
        <w:t xml:space="preserve">The decision to locate the clinic in downtown</w:t>
      </w:r>
      <w:r>
        <w:t xml:space="preserve"> </w:t>
      </w:r>
      <w:r>
        <w:t xml:space="preserve">Myanmar</w:t>
      </w:r>
      <w:r>
        <w:t xml:space="preserve">, Yangon was driven by demographic density and purchasing power. Sanchaung and Kamayut wards were identified as prime locations due to their proximity to international schools, embassies, and corporate offices. These areas host the expatriate community as well as affluent Myanmar nationals who value hygiene and precision.</w:t>
      </w:r>
    </w:p>
    <w:p>
      <w:pPr>
        <w:pStyle w:val="BodyText"/>
      </w:pPr>
      <w:r>
        <w:t xml:space="preserve">However, location in Yangon comes with specific infrastructural constraints. Traffic congestion is severe during peak hours, necessitating a clinic that offers ample parking or concierge valet services to accommodate high-end patients. Additionally, the reliability of public utilities must be addressed. The practice invested heavily in independent power generators and water purification systems to ensure uninterrupted service during frequent load-shedding episodes.</w:t>
      </w:r>
    </w:p>
    <w:bookmarkEnd w:id="23"/>
    <w:bookmarkStart w:id="24" w:name="Xd66ee5acf140a3dd97c86c4fa404df9eacefefb"/>
    <w:p>
      <w:pPr>
        <w:pStyle w:val="Heading2"/>
      </w:pPr>
      <w:r>
        <w:t xml:space="preserve">4. Navigating Regulatory and Cultural Nuances</w:t>
      </w:r>
    </w:p>
    <w:p>
      <w:pPr>
        <w:pStyle w:val="FirstParagraph"/>
      </w:pPr>
      <w:r>
        <w:t xml:space="preserve">Regulatory compliance in Myanmar involves navigating a complex web of local government approvals, health department certifications, and business licensing. The case study highlights the importance of hiring local legal counsel who understands the nuances of foreign ownership structures (if applicable) or joint ventures.</w:t>
      </w:r>
    </w:p>
    <w:p>
      <w:pPr>
        <w:pStyle w:val="BodyText"/>
      </w:pPr>
      <w:r>
        <w:t xml:space="preserve">Culturally, trust is paramount. In</w:t>
      </w:r>
      <w:r>
        <w:t xml:space="preserve"> </w:t>
      </w:r>
      <w:r>
        <w:t xml:space="preserve">Myanmar</w:t>
      </w:r>
      <w:r>
        <w:t xml:space="preserve">, healthcare decisions are often influenced by word-of-mouth and community reputation. Therefore, the marketing strategy for the</w:t>
      </w:r>
      <w:r>
        <w:t xml:space="preserve"> </w:t>
      </w:r>
      <w:r>
        <w:t xml:space="preserve">Dentist</w:t>
      </w:r>
      <w:r>
        <w:t xml:space="preserve"> </w:t>
      </w:r>
      <w:r>
        <w:t xml:space="preserve">practice relied less on broad digital advertising and more on community engagement. Partnering with local expatriate associations and offering free oral health seminars at international schools helped build credibility. Additionally, respecting local customs—such as appropriate greeting gestures (the 'Ani' gesture) and understanding the hierarchy in patient interactions—was crucial for staff training.</w:t>
      </w:r>
    </w:p>
    <w:bookmarkEnd w:id="24"/>
    <w:bookmarkStart w:id="25" w:name="X305d4f546255fba568eb56c679cabcffc0017e8"/>
    <w:p>
      <w:pPr>
        <w:pStyle w:val="Heading2"/>
      </w:pPr>
      <w:r>
        <w:t xml:space="preserve">5. Pricing Strategy and Financial Sustainability</w:t>
      </w:r>
    </w:p>
    <w:p>
      <w:pPr>
        <w:pStyle w:val="FirstParagraph"/>
      </w:pPr>
      <w:r>
        <w:t xml:space="preserve">Economic volatility in Myanmar has led to fluctuations in currency value. To mitigate financial risk, the clinic adopted a dual-currency pricing model or frequently adjusted prices based on the market exchange rate. This approach ensures that operational costs covered by imports are protected from devaluation.</w:t>
      </w:r>
    </w:p>
    <w:p>
      <w:pPr>
        <w:pStyle w:val="BodyText"/>
      </w:pPr>
      <w:r>
        <w:t xml:space="preserve">Pricing was structured into three tiers: Basic (accessible), Standard (value-driven), and Premium (high-end aesthetic). This allowed the</w:t>
      </w:r>
      <w:r>
        <w:t xml:space="preserve"> </w:t>
      </w:r>
      <w:r>
        <w:t xml:space="preserve">Dentist</w:t>
      </w:r>
      <w:r>
        <w:t xml:space="preserve"> </w:t>
      </w:r>
      <w:r>
        <w:t xml:space="preserve">to capture a wider range of the market while maintaining margins on high-value procedures like dental implants. Payment flexibility was also introduced, including installment plans for expensive treatments, acknowledging that large upfront payments can be difficult for the middle class.</w:t>
      </w:r>
    </w:p>
    <w:bookmarkEnd w:id="25"/>
    <w:bookmarkStart w:id="26" w:name="technology-and-innovation"/>
    <w:p>
      <w:pPr>
        <w:pStyle w:val="Heading2"/>
      </w:pPr>
      <w:r>
        <w:t xml:space="preserve">6. Technology and Innovation</w:t>
      </w:r>
    </w:p>
    <w:p>
      <w:pPr>
        <w:pStyle w:val="FirstParagraph"/>
      </w:pPr>
      <w:r>
        <w:t xml:space="preserve">To differentiate from traditional</w:t>
      </w:r>
      <w:r>
        <w:t xml:space="preserve"> </w:t>
      </w:r>
      <w:r>
        <w:t xml:space="preserve">Dentist</w:t>
      </w:r>
      <w:r>
        <w:t xml:space="preserve"> </w:t>
      </w:r>
      <w:r>
        <w:t xml:space="preserve">offices in Yangon, the practice integrated digital dentistry early on. The implementation of intraoral scanners instead of traditional molds improved patient comfort and efficiency. Digital X-rays reduced radiation exposure and allowed for immediate diagnosis.</w:t>
      </w:r>
    </w:p>
    <w:p>
      <w:pPr>
        <w:pStyle w:val="BodyText"/>
      </w:pPr>
      <w:r>
        <w:t xml:space="preserve">Despite these advancements, technology transfer was not without issues. Local technicians sometimes lacked training on complex software updates for dental equipment. Therefore, the clinic established a direct support line with international manufacturers to ensure technical issues were resolved quickly via remote assistance or expedited shipping of spare parts.</w:t>
      </w:r>
    </w:p>
    <w:bookmarkEnd w:id="26"/>
    <w:bookmarkStart w:id="27" w:name="X2b5d26cb30056cfff254a25934778393f02bac2"/>
    <w:p>
      <w:pPr>
        <w:pStyle w:val="Heading2"/>
      </w:pPr>
      <w:r>
        <w:t xml:space="preserve">7. Community Impact and Corporate Social Responsibility (CSR)</w:t>
      </w:r>
    </w:p>
    <w:p>
      <w:pPr>
        <w:pStyle w:val="FirstParagraph"/>
      </w:pPr>
      <w:r>
        <w:t xml:space="preserve">A successful business in</w:t>
      </w:r>
      <w:r>
        <w:t xml:space="preserve"> </w:t>
      </w:r>
      <w:r>
        <w:t xml:space="preserve">Myanmar</w:t>
      </w:r>
      <w:r>
        <w:t xml:space="preserve"> </w:t>
      </w:r>
      <w:r>
        <w:t xml:space="preserve">must demonstrate social responsibility. The clinic launched a pro-bono initiative once a month, providing free check-ups and basic cleanings for underprivileged children. This CSR initiative not only supported the community but also enhanced the brand’s reputation as an ethical institution. It provided valuable training opportunities for junior dental staff, allowing them to gain experience in varied clinical scenarios.</w:t>
      </w:r>
    </w:p>
    <w:bookmarkEnd w:id="27"/>
    <w:bookmarkStart w:id="28" w:name="lessons-learned-and-future-outlook"/>
    <w:p>
      <w:pPr>
        <w:pStyle w:val="Heading2"/>
      </w:pPr>
      <w:r>
        <w:t xml:space="preserve">8. Lessons Learned and Future Outlook</w:t>
      </w:r>
    </w:p>
    <w:p>
      <w:pPr>
        <w:pStyle w:val="FirstParagraph"/>
      </w:pPr>
      <w:r>
        <w:t xml:space="preserve">The establishment of this</w:t>
      </w:r>
      <w:r>
        <w:t xml:space="preserve"> </w:t>
      </w:r>
      <w:r>
        <w:t xml:space="preserve">Dentist</w:t>
      </w:r>
      <w:r>
        <w:t xml:space="preserve"> </w:t>
      </w:r>
      <w:r>
        <w:t xml:space="preserve">practice in Yangon serves as a compelling case study for healthcare entrepreneurs in emerging markets. Key takeaways include:</w:t>
      </w:r>
    </w:p>
    <w:p>
      <w:pPr>
        <w:numPr>
          <w:ilvl w:val="0"/>
          <w:numId w:val="1001"/>
        </w:numPr>
        <w:pStyle w:val="Compact"/>
      </w:pPr>
      <w:r>
        <w:rPr>
          <w:bCs/>
          <w:b/>
        </w:rPr>
        <w:t xml:space="preserve">Adaptability is Key:</w:t>
      </w:r>
      <w:r>
        <w:t xml:space="preserve">Rigid operational models fail in volatile environments. Flexibility in pricing and supply chain management is essential.</w:t>
      </w:r>
    </w:p>
    <w:p>
      <w:pPr>
        <w:numPr>
          <w:ilvl w:val="0"/>
          <w:numId w:val="1001"/>
        </w:numPr>
        <w:pStyle w:val="Compact"/>
      </w:pPr>
      <w:r>
        <w:rPr>
          <w:bCs/>
          <w:b/>
        </w:rPr>
        <w:t xml:space="preserve">Talent Development:</w:t>
      </w:r>
      <w:r>
        <w:t xml:space="preserve">Investing in local staff training yields long-term loyalty and reduces reliance on expensive expatriate labor.</w:t>
      </w:r>
    </w:p>
    <w:p>
      <w:pPr>
        <w:numPr>
          <w:ilvl w:val="0"/>
          <w:numId w:val="1001"/>
        </w:numPr>
        <w:pStyle w:val="Compact"/>
      </w:pPr>
      <w:r>
        <w:rPr>
          <w:bCs/>
          <w:b/>
        </w:rPr>
        <w:t xml:space="preserve">Trust Building:</w:t>
      </w:r>
      <w:r>
        <w:t xml:space="preserve">In</w:t>
      </w:r>
      <w:r>
        <w:t xml:space="preserve"> </w:t>
      </w:r>
      <w:r>
        <w:t xml:space="preserve">Myanmar</w:t>
      </w:r>
      <w:r>
        <w:t xml:space="preserve">, personal relationships drive business success. Community engagement is as important as clinical excellence.</w:t>
      </w:r>
    </w:p>
    <w:bookmarkEnd w:id="28"/>
    <w:bookmarkStart w:id="29" w:name="conclusion"/>
    <w:p>
      <w:pPr>
        <w:pStyle w:val="Heading2"/>
      </w:pPr>
      <w:r>
        <w:t xml:space="preserve">Conclusion</w:t>
      </w:r>
    </w:p>
    <w:p>
      <w:pPr>
        <w:pStyle w:val="FirstParagraph"/>
      </w:pPr>
      <w:r>
        <w:t xml:space="preserve">The dental market in</w:t>
      </w:r>
      <w:r>
        <w:t xml:space="preserve"> </w:t>
      </w:r>
      <w:r>
        <w:t xml:space="preserve">Yangon, Myanmar</w:t>
      </w:r>
      <w:r>
        <w:t xml:space="preserve">, offers significant potential for practitioners who are willing to navigate its complexities. By combining high-quality clinical services with a deep understanding of local cultural and economic dynamics, a modern</w:t>
      </w:r>
      <w:r>
        <w:t xml:space="preserve"> </w:t>
      </w:r>
      <w:r>
        <w:t xml:space="preserve">Dentist</w:t>
      </w:r>
      <w:r>
        <w:t xml:space="preserve"> </w:t>
      </w:r>
      <w:r>
        <w:t xml:space="preserve">can build a sustainable and impactful practice. This case study demonstrates that while challenges regarding infrastructure and regulation exist, they are surmountable through strategic planning, community integration, and operational resilience.</w:t>
      </w:r>
    </w:p>
    <w:p>
      <w:pPr>
        <w:pStyle w:val="BodyText"/>
      </w:pPr>
      <w:r>
        <w:t xml:space="preserve">The future of dentistry in this region looks promising as urbanization continues. Patients are becoming more health-conscious, driving demand for specialized care. For investors and practitioners eyeing</w:t>
      </w:r>
      <w:r>
        <w:t xml:space="preserve"> </w:t>
      </w:r>
      <w:r>
        <w:t xml:space="preserve">Myanmar</w:t>
      </w:r>
      <w:r>
        <w:t xml:space="preserve">, the time to establish a strong foothold is now, provided they remain agile and respectful of the local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2026-07-29T07:29:18Z</dcterms:created>
  <dcterms:modified xsi:type="dcterms:W3CDTF">2026-07-29T07:29:18Z</dcterms:modified>
</cp:coreProperties>
</file>

<file path=docProps/custom.xml><?xml version="1.0" encoding="utf-8"?>
<Properties xmlns="http://schemas.openxmlformats.org/officeDocument/2006/custom-properties" xmlns:vt="http://schemas.openxmlformats.org/officeDocument/2006/docPropsVTypes"/>
</file>