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Dental</w:t>
      </w:r>
      <w:r>
        <w:t xml:space="preserve"> </w:t>
      </w:r>
      <w:r>
        <w:t xml:space="preserve">Care</w:t>
      </w:r>
      <w:r>
        <w:t xml:space="preserve"> </w:t>
      </w:r>
      <w:r>
        <w:t xml:space="preserve">in</w:t>
      </w:r>
      <w:r>
        <w:t xml:space="preserve"> </w:t>
      </w:r>
      <w:r>
        <w:t xml:space="preserve">Cape</w:t>
      </w:r>
      <w:r>
        <w:t xml:space="preserve"> </w:t>
      </w:r>
      <w:r>
        <w:t xml:space="preserve">Town</w:t>
      </w:r>
    </w:p>
    <w:bookmarkStart w:id="32" w:name="X3adfa5fe722fc6ebbc7d97a6bc07dcb2dcfd52a"/>
    <w:p>
      <w:pPr>
        <w:pStyle w:val="Heading1"/>
      </w:pPr>
      <w:r>
        <w:t xml:space="preserve">Case Study: Revolutionizing Dental Accessibility and Quality in South Africa Cape Town</w:t>
      </w:r>
    </w:p>
    <w:p>
      <w:pPr>
        <w:pStyle w:val="FirstParagraph"/>
      </w:pPr>
      <w:r>
        <w:rPr>
          <w:bCs/>
          <w:b/>
        </w:rPr>
        <w:t xml:space="preserve">Date:</w:t>
      </w:r>
      <w:r>
        <w:t xml:space="preserve"> </w:t>
      </w:r>
      <w:r>
        <w:t xml:space="preserve">October 2023</w:t>
      </w:r>
    </w:p>
    <w:p>
      <w:pPr>
        <w:pStyle w:val="BodyText"/>
      </w:pPr>
      <w:r>
        <w:rPr>
          <w:bCs/>
          <w:b/>
        </w:rPr>
        <w:t xml:space="preserve">Affiliated Entities:</w:t>
      </w:r>
      <w:r>
        <w:t xml:space="preserve"> </w:t>
      </w:r>
      <w:r>
        <w:t xml:space="preserve">Metro Health Alliance, Cape Town Community Trusts, National Department of Health (Private Partnership)</w:t>
      </w:r>
    </w:p>
    <w:bookmarkStart w:id="20" w:name="executive-summary"/>
    <w:p>
      <w:pPr>
        <w:pStyle w:val="Heading2"/>
      </w:pPr>
      <w:r>
        <w:t xml:space="preserve">Executive Summary</w:t>
      </w:r>
    </w:p>
    <w:p>
      <w:pPr>
        <w:pStyle w:val="FirstParagraph"/>
      </w:pPr>
      <w:r>
        <w:t xml:space="preserve">This Case Study examines the innovative integration of private dental services within the public healthcare framework in South Africa Cape Town. As one of the most developed regions in Africa, Cape Town presents a unique dichotomy: world-class medical infrastructure coexists with significant socioeconomic disparities. This document explores how specialized Dentist practices have adapted to serve diverse patient demographics across various socio-economic strata, ensuring equitable access while maintaining high clinical standards.</w:t>
      </w:r>
    </w:p>
    <w:bookmarkEnd w:id="20"/>
    <w:bookmarkStart w:id="21" w:name="background-and-context"/>
    <w:p>
      <w:pPr>
        <w:pStyle w:val="Heading2"/>
      </w:pPr>
      <w:r>
        <w:t xml:space="preserve">1. Background and Context</w:t>
      </w:r>
    </w:p>
    <w:p>
      <w:pPr>
        <w:pStyle w:val="FirstParagraph"/>
      </w:pPr>
      <w:r>
        <w:t xml:space="preserve">Cape Town is a city of contrasts, characterized by vibrant urban centers and historically disadvantaged townships such as Khayelitsha, Philippi, and Gugulethu. In the realm of oral health, South Africa has long struggled with an uneven distribution of resources. While wealthy suburbs like Constantia and Clifton boast numerous private clinics with state-of-the-art technology, residents in underserved areas often lack access to basic preventative care.</w:t>
      </w:r>
    </w:p>
    <w:p>
      <w:pPr>
        <w:pStyle w:val="BodyText"/>
      </w:pPr>
      <w:r>
        <w:t xml:space="preserve">The primary challenge identified in this Case Study was the overwhelming backlog for public dental services. Patients frequently waited months, sometimes years, for simple extractions or fillings. Furthermore, there was a significant gap in preventative education, leading to high rates of untreated caries and periodontal disease among children and working-class adults in South Africa Cape Town.</w:t>
      </w:r>
    </w:p>
    <w:bookmarkEnd w:id="21"/>
    <w:bookmarkStart w:id="22" w:name="problem-statement"/>
    <w:p>
      <w:pPr>
        <w:pStyle w:val="Heading2"/>
      </w:pPr>
      <w:r>
        <w:t xml:space="preserve">2. Problem Statement</w:t>
      </w:r>
    </w:p>
    <w:p>
      <w:pPr>
        <w:pStyle w:val="FirstParagraph"/>
      </w:pPr>
      <w:r>
        <w:t xml:space="preserve">The core issues driving this initiative were threefold:</w:t>
      </w:r>
    </w:p>
    <w:p>
      <w:pPr>
        <w:numPr>
          <w:ilvl w:val="0"/>
          <w:numId w:val="1001"/>
        </w:numPr>
        <w:pStyle w:val="Compact"/>
      </w:pPr>
      <w:r>
        <w:rPr>
          <w:bCs/>
          <w:b/>
        </w:rPr>
        <w:t xml:space="preserve">Affordability:</w:t>
      </w:r>
      <w:r>
        <w:t xml:space="preserve"> </w:t>
      </w:r>
      <w:r>
        <w:t xml:space="preserve">Private Dentist services were often priced out of reach for the majority of the population in Cape Town.</w:t>
      </w:r>
    </w:p>
    <w:p>
      <w:pPr>
        <w:numPr>
          <w:ilvl w:val="0"/>
          <w:numId w:val="1001"/>
        </w:numPr>
        <w:pStyle w:val="Compact"/>
      </w:pPr>
      <w:r>
        <w:rPr>
          <w:bCs/>
          <w:b/>
        </w:rPr>
        <w:t xml:space="preserve">Social Determinants:</w:t>
      </w:r>
      <w:r>
        <w:t xml:space="preserve"> </w:t>
      </w:r>
      <w:r>
        <w:t xml:space="preserve">Poor nutrition, lack of clean drinking water in certain peri-urban areas, and low oral hygiene literacy contributed to severe dental decay.</w:t>
      </w:r>
    </w:p>
    <w:p>
      <w:pPr>
        <w:numPr>
          <w:ilvl w:val="0"/>
          <w:numId w:val="1001"/>
        </w:numPr>
        <w:pStyle w:val="Compact"/>
      </w:pPr>
      <w:r>
        <w:rPr>
          <w:bCs/>
          <w:b/>
        </w:rPr>
        <w:t xml:space="preserve">Mental Health Barriers:</w:t>
      </w:r>
    </w:p>
    <w:bookmarkEnd w:id="22"/>
    <w:bookmarkStart w:id="26" w:name="the-intervention-model"/>
    <w:p>
      <w:pPr>
        <w:pStyle w:val="Heading2"/>
      </w:pPr>
      <w:r>
        <w:t xml:space="preserve">3. The Intervention Model</w:t>
      </w:r>
    </w:p>
    <w:p>
      <w:pPr>
        <w:pStyle w:val="FirstParagraph"/>
      </w:pPr>
      <w:r>
        <w:t xml:space="preserve">To address these challenges, a hybrid service model was implemented involving a coalition of local Dentist practitioners and community health NGOs. This model focused on three strategic pillars: Mobile Clinics, Subsidized Private Care, and Community Education.</w:t>
      </w:r>
    </w:p>
    <w:bookmarkStart w:id="23" w:name="mobile-dental-units"/>
    <w:p>
      <w:pPr>
        <w:pStyle w:val="Heading3"/>
      </w:pPr>
      <w:r>
        <w:t xml:space="preserve">3.1 Mobile Dental Units</w:t>
      </w:r>
    </w:p>
    <w:p>
      <w:pPr>
        <w:pStyle w:val="FirstParagraph"/>
      </w:pPr>
      <w:r>
        <w:t xml:space="preserve">Recognizing that transportation was a significant barrier for residents in the Cape Flats and surrounding townships, three fully equipped mobile dental units were deployed. These vans served as temporary Clinics operated by rotating teams of Dentist professionals. By bringing care directly to schools, community centers, and places of work, the initiative reduced missed appointments and increased early detection rates.</w:t>
      </w:r>
    </w:p>
    <w:bookmarkEnd w:id="23"/>
    <w:bookmarkStart w:id="24" w:name="the-sliding-scale-fee-structure"/>
    <w:p>
      <w:pPr>
        <w:pStyle w:val="Heading3"/>
      </w:pPr>
      <w:r>
        <w:t xml:space="preserve">3.2 The Sliding Scale Fee Structure</w:t>
      </w:r>
    </w:p>
    <w:p>
      <w:pPr>
        <w:pStyle w:val="FirstParagraph"/>
      </w:pPr>
      <w:r>
        <w:t xml:space="preserve">To make professional Dental care accessible without compromising the quality of treatment, participating Dentist practices adopted a sliding scale fee structure based on income verification. This approach allowed high-income earners in areas like Sea Point and Camps Bay to subsidize treatments for lower-income patients living in Khayelitsha or Mitchells Plain.</w:t>
      </w:r>
    </w:p>
    <w:bookmarkEnd w:id="24"/>
    <w:bookmarkStart w:id="25" w:name="integrated-preventative-education"/>
    <w:p>
      <w:pPr>
        <w:pStyle w:val="Heading3"/>
      </w:pPr>
      <w:r>
        <w:t xml:space="preserve">3.3 Integrated Preventative Education</w:t>
      </w:r>
    </w:p>
    <w:p>
      <w:pPr>
        <w:pStyle w:val="FirstParagraph"/>
      </w:pPr>
      <w:r>
        <w:t xml:space="preserve">A critical component of the success in South Africa Cape Town was the emphasis on prevention rather than just remediation. The program launched "Smile Safe Schools," an educational initiative where Dentist professionals visited local schools to demonstrate proper brushing techniques and discuss the impact of sugar consumption. This proactive approach aimed to reduce long-term dependency on complex dental procedures.</w:t>
      </w:r>
    </w:p>
    <w:bookmarkEnd w:id="25"/>
    <w:bookmarkEnd w:id="26"/>
    <w:bookmarkStart w:id="27" w:name="implementation-in-south-africa-cape-town"/>
    <w:p>
      <w:pPr>
        <w:pStyle w:val="Heading2"/>
      </w:pPr>
      <w:r>
        <w:t xml:space="preserve">4. Implementation in South Africa Cape Town</w:t>
      </w:r>
    </w:p>
    <w:p>
      <w:pPr>
        <w:pStyle w:val="FirstParagraph"/>
      </w:pPr>
      <w:r>
        <w:t xml:space="preserve">The implementation phase required careful navigation of logistical and regulatory landscapes unique to South Africa Cape Town. Partnerships were established with local municipal health departments to ensure compliance with national health standards. Furthermore, language diversity was prioritized; all patient-facing materials were translated into English, Afrikaans, Xhosa, and Somali to cater to the multicultural demographic of the city.</w:t>
      </w:r>
    </w:p>
    <w:p>
      <w:pPr>
        <w:pStyle w:val="BodyText"/>
      </w:pPr>
      <w:r>
        <w:t xml:space="preserve">The team recruited Dentist professionals from both private practice backgrounds and recent graduates eager to contribute their skills in public health. This mix ensured a blend of experienced leadership and energetic innovation. Special attention was paid to cultural competence, ensuring that care was respectful of local customs and beliefs regarding health and healing.</w:t>
      </w:r>
    </w:p>
    <w:bookmarkEnd w:id="27"/>
    <w:bookmarkStart w:id="28" w:name="results-and-impact-analysis"/>
    <w:p>
      <w:pPr>
        <w:pStyle w:val="Heading2"/>
      </w:pPr>
      <w:r>
        <w:t xml:space="preserve">5. Results and Impact Analysis</w:t>
      </w:r>
    </w:p>
    <w:p>
      <w:pPr>
        <w:pStyle w:val="FirstParagraph"/>
      </w:pPr>
      <w:r>
        <w:t xml:space="preserve">After eighteen months of operation, the data collected from South Africa Cape Town revealed significant improvements in oral health outcomes.</w:t>
      </w:r>
    </w:p>
    <w:p>
      <w:pPr>
        <w:numPr>
          <w:ilvl w:val="0"/>
          <w:numId w:val="1002"/>
        </w:numPr>
        <w:pStyle w:val="Compact"/>
      </w:pPr>
      <w:r>
        <w:rPr>
          <w:bCs/>
          <w:b/>
        </w:rPr>
        <w:t xml:space="preserve">Patient Volume:</w:t>
      </w:r>
      <w:r>
        <w:t xml:space="preserve">The initiative served over 15,000 patients who had previously been on waiting lists for public services or unable to afford private care. Approximately 60% of these patients were from historically disadvantaged communities within South Africa Cape Town.</w:t>
      </w:r>
    </w:p>
    <w:p>
      <w:pPr>
        <w:numPr>
          <w:ilvl w:val="0"/>
          <w:numId w:val="1002"/>
        </w:numPr>
        <w:pStyle w:val="Compact"/>
      </w:pPr>
      <w:r>
        <w:rPr>
          <w:bCs/>
          <w:b/>
        </w:rPr>
        <w:t xml:space="preserve">Treatment Efficiency:</w:t>
      </w:r>
      <w:r>
        <w:t xml:space="preserve">Average wait times for basic procedures dropped from an average of six months in the public sector to under two weeks through the hybrid model.</w:t>
      </w:r>
    </w:p>
    <w:p>
      <w:pPr>
        <w:numPr>
          <w:ilvl w:val="0"/>
          <w:numId w:val="1002"/>
        </w:numPr>
        <w:pStyle w:val="Compact"/>
      </w:pPr>
      <w:r>
        <w:rPr>
          <w:bCs/>
          <w:b/>
        </w:rPr>
        <w:t xml:space="preserve">Educational Reach:</w:t>
      </w:r>
      <w:r>
        <w:t xml:space="preserve">Mouth-to-mouth and school-based education reached over 25,000 children. Post-program surveys indicated a 45% increase in self-reported regular brushing habits among participating students.</w:t>
      </w:r>
    </w:p>
    <w:p>
      <w:pPr>
        <w:numPr>
          <w:ilvl w:val="0"/>
          <w:numId w:val="1002"/>
        </w:numPr>
        <w:pStyle w:val="Compact"/>
      </w:pPr>
      <w:r>
        <w:rPr>
          <w:bCs/>
          <w:b/>
        </w:rPr>
        <w:t xml:space="preserve">Patient Satisfaction:</w:t>
      </w:r>
      <w:r>
        <w:t xml:space="preserve">Feedback forms collected at various Dentist clinics across the city highlighted improved trust levels. Patients reported feeling heard and respected, directly addressing the mental health barriers associated with dental anxiety.</w:t>
      </w:r>
    </w:p>
    <w:bookmarkEnd w:id="28"/>
    <w:bookmarkStart w:id="29" w:name="challenges-encountered"/>
    <w:p>
      <w:pPr>
        <w:pStyle w:val="Heading2"/>
      </w:pPr>
      <w:r>
        <w:t xml:space="preserve">6. Challenges Encountered</w:t>
      </w:r>
    </w:p>
    <w:p>
      <w:pPr>
        <w:pStyle w:val="FirstParagraph"/>
      </w:pPr>
      <w:r>
        <w:t xml:space="preserve">The journey was not without obstacles. Supply chain disruptions occasionally affected the availability of certain dental materials in South Africa Cape Town, necessitating flexible treatment planning by Dentist staff. Additionally, convincing conservative segments of the medical establishment to embrace a community-focused hybrid model required persistent advocacy and proof-of-concept data.</w:t>
      </w:r>
    </w:p>
    <w:bookmarkEnd w:id="29"/>
    <w:bookmarkStart w:id="30" w:name="sustainability-and-future-outlook"/>
    <w:p>
      <w:pPr>
        <w:pStyle w:val="Heading2"/>
      </w:pPr>
      <w:r>
        <w:t xml:space="preserve">7. Sustainability and Future Outlook</w:t>
      </w:r>
    </w:p>
    <w:p>
      <w:pPr>
        <w:pStyle w:val="FirstParagraph"/>
      </w:pPr>
      <w:r>
        <w:t xml:space="preserve">The success of this Case Study demonstrates that high-quality Dental care is achievable in diverse socioeconomic environments like South Africa Cape Town when innovation meets compassion. To ensure sustainability, the model has been structured to attract ongoing private sector investment and corporate social responsibility (CSR) funding from major businesses located in the Cape Town business district.</w:t>
      </w:r>
    </w:p>
    <w:p>
      <w:pPr>
        <w:pStyle w:val="BodyText"/>
      </w:pPr>
      <w:r>
        <w:t xml:space="preserve">Looking forward, plans are underway to expand the mobile unit fleet and integrate digital health records for better continuity of care. The goal is to establish a replicable template that can be exported to other cities within South Africa, proving that equitable access to essential health services is possible even in regions with stark inequalities.</w:t>
      </w:r>
    </w:p>
    <w:bookmarkEnd w:id="30"/>
    <w:bookmarkStart w:id="31" w:name="conclusion"/>
    <w:p>
      <w:pPr>
        <w:pStyle w:val="Heading2"/>
      </w:pPr>
      <w:r>
        <w:t xml:space="preserve">8. Conclusion</w:t>
      </w:r>
    </w:p>
    <w:p>
      <w:pPr>
        <w:pStyle w:val="FirstParagraph"/>
      </w:pPr>
      <w:r>
        <w:t xml:space="preserve">This Case Study underscores the vital role of adaptive Dentist practices in addressing public health challenges. In South Africa Cape Town, the integration of technology, community engagement, and financial inclusivity has created a sustainable model for dental care. By prioritizing accessibility and education, stakeholders have not only improved oral health statistics but also fostered a greater sense of community well-being. The experience confirms that when resources are managed intelligently and compassionately, significant improvements in public health outcomes are attainable.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Dental Care in Cape Town</dc:title>
  <dc:creator/>
  <dc:language>en</dc:language>
  <cp:keywords/>
  <dcterms:created xsi:type="dcterms:W3CDTF">2026-07-29T14:24:25Z</dcterms:created>
  <dcterms:modified xsi:type="dcterms:W3CDTF">2026-07-29T14:24:25Z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