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Dental</w:t>
      </w:r>
      <w:r>
        <w:t xml:space="preserve"> </w:t>
      </w:r>
      <w:r>
        <w:t xml:space="preserve">Practice</w:t>
      </w:r>
      <w:r>
        <w:t xml:space="preserve"> </w:t>
      </w:r>
      <w:r>
        <w:t xml:space="preserve">Modernization</w:t>
      </w:r>
      <w:r>
        <w:t xml:space="preserve"> </w:t>
      </w:r>
      <w:r>
        <w:t xml:space="preserve">in</w:t>
      </w:r>
      <w:r>
        <w:t xml:space="preserve"> </w:t>
      </w:r>
      <w:r>
        <w:t xml:space="preserve">Venezuela</w:t>
      </w:r>
      <w:r>
        <w:t xml:space="preserve"> </w:t>
      </w:r>
      <w:r>
        <w:t xml:space="preserve">Caracas</w:t>
      </w:r>
    </w:p>
    <w:bookmarkStart w:id="31" w:name="X2991ccd274e95a28d1d357eaa1a4d3478b8f1ea"/>
    <w:p>
      <w:pPr>
        <w:pStyle w:val="Heading1"/>
      </w:pPr>
      <w:r>
        <w:t xml:space="preserve">Dental Practice Modernization and Resilience Strategy in Venezuela Caracas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Case Study Analysis</w:t>
      </w:r>
      <w:r>
        <w:br/>
      </w:r>
      <w:r>
        <w:rPr>
          <w:bCs/>
          <w:b/>
        </w:rPr>
        <w:t xml:space="preserve">Focal Region:</w:t>
      </w:r>
      <w:r>
        <w:t xml:space="preserve"> </w:t>
      </w:r>
      <w:r>
        <w:t xml:space="preserve">Venezuela, Caracas</w:t>
      </w:r>
    </w:p>
    <w:bookmarkStart w:id="20" w:name="executive-summary"/>
    <w:p>
      <w:pPr>
        <w:pStyle w:val="Heading2"/>
      </w:pPr>
      <w:r>
        <w:t xml:space="preserve">1. Executive Summary</w:t>
      </w:r>
    </w:p>
    <w:p>
      <w:pPr>
        <w:pStyle w:val="FirstParagraph"/>
      </w:pPr>
      <w:r>
        <w:t xml:space="preserve">This case study examines the operational dynamics, challenges, and strategic adaptations of a mid-sized private dental clinic located in the upscale districts of Caracas, Venezuela. The document highlights how modernization efforts in patient care and digital integration have been achieved despite significant macroeconomic volatility. By focusing on resilience strategies specific to the Venezuelan market context within Caracas, this study offers insights into sustainable business practices for healthcare providers operating in emerging markets.</w:t>
      </w:r>
    </w:p>
    <w:bookmarkEnd w:id="20"/>
    <w:bookmarkStart w:id="21" w:name="contextual-background"/>
    <w:p>
      <w:pPr>
        <w:pStyle w:val="Heading2"/>
      </w:pPr>
      <w:r>
        <w:t xml:space="preserve">2. Contextual Background</w:t>
      </w:r>
    </w:p>
    <w:p>
      <w:pPr>
        <w:pStyle w:val="FirstParagraph"/>
      </w:pPr>
      <w:r>
        <w:t xml:space="preserve">Venezuela has experienced profound economic shifts over the last decade, characterized by high inflation rates, currency fluctuations, and infrastructure challenges. Caracas, as the capital city and primary economic hub of Venezuela Caracas remains a center for commerce but faces unique logistical hurdles. For healthcare professionals in this region—including Dentist specialists—providing consistent care requires navigating supply chain disruptions, energy instability (such as power outages), and evolving patient purchasing power.</w:t>
      </w:r>
    </w:p>
    <w:p>
      <w:pPr>
        <w:pStyle w:val="BodyText"/>
      </w:pPr>
      <w:r>
        <w:t xml:space="preserve">This case study focuses on "Clínica Dental Moderna," a fictionalized composite entity representing successful practices in Caracas. The clinic serves a diverse clientele, ranging from expatriates and business professionals to local residents with varying levels of income stability. The primary objective was to maintain high standards of dental hygiene and cosmetic procedures while ensuring financial viability.</w:t>
      </w:r>
    </w:p>
    <w:bookmarkEnd w:id="21"/>
    <w:bookmarkStart w:id="25" w:name="key-challenges-faced"/>
    <w:p>
      <w:pPr>
        <w:pStyle w:val="Heading2"/>
      </w:pPr>
      <w:r>
        <w:t xml:space="preserve">3. Key Challenges Faced</w:t>
      </w:r>
    </w:p>
    <w:bookmarkStart w:id="22" w:name="Xdec55086031ac8fa1f7bc5e3c3caec40fc59cda"/>
    <w:p>
      <w:pPr>
        <w:pStyle w:val="Heading3"/>
      </w:pPr>
      <w:r>
        <w:t xml:space="preserve">A. Supply Chain Instability for Dental Materials</w:t>
      </w:r>
    </w:p>
    <w:p>
      <w:pPr>
        <w:pStyle w:val="FirstParagraph"/>
      </w:pPr>
      <w:r>
        <w:t xml:space="preserve">In Caracas, importing specialized dental materials such as composite resins, ceramic veneers, and anesthesia agents is complicated by import regulations and currency exchange rates. The clinic faced frequent stockouts of essential supplies, forcing practitioners to adapt treatment plans dynamically.</w:t>
      </w:r>
    </w:p>
    <w:bookmarkEnd w:id="22"/>
    <w:bookmarkStart w:id="23" w:name="b.-infrastructure-reliability"/>
    <w:p>
      <w:pPr>
        <w:pStyle w:val="Heading3"/>
      </w:pPr>
      <w:r>
        <w:t xml:space="preserve">B. Infrastructure Reliability</w:t>
      </w:r>
    </w:p>
    <w:p>
      <w:pPr>
        <w:pStyle w:val="FirstParagraph"/>
      </w:pPr>
      <w:r>
        <w:t xml:space="preserve">Dental procedures, particularly those involving digital imaging (X-rays) and laser treatments, require stable electricity. In Venezuela Caracas, intermittent power cuts are common. The clinic had to invest heavily in backup generators and battery systems to ensure patient safety and equipment longevity.</w:t>
      </w:r>
    </w:p>
    <w:bookmarkEnd w:id="23"/>
    <w:bookmarkStart w:id="24" w:name="c.-economic-volatility"/>
    <w:p>
      <w:pPr>
        <w:pStyle w:val="Heading3"/>
      </w:pPr>
      <w:r>
        <w:t xml:space="preserve">C. Economic Volatility</w:t>
      </w:r>
    </w:p>
    <w:p>
      <w:pPr>
        <w:pStyle w:val="FirstParagraph"/>
      </w:pPr>
      <w:r>
        <w:t xml:space="preserve">Pricing services in a volatile currency environment is difficult. The clinic struggled with setting fees that reflected the true cost of operations without alienating patients whose incomes were pegged to the local currency, while their costs for imported materials were often tied to USD.</w:t>
      </w:r>
    </w:p>
    <w:bookmarkEnd w:id="24"/>
    <w:bookmarkEnd w:id="25"/>
    <w:bookmarkStart w:id="29" w:name="strategic-solutions-and-implementations"/>
    <w:p>
      <w:pPr>
        <w:pStyle w:val="Heading2"/>
      </w:pPr>
      <w:r>
        <w:t xml:space="preserve">4. Strategic Solutions and Implementations</w:t>
      </w:r>
    </w:p>
    <w:bookmarkStart w:id="26" w:name="a.-diversified-supply-chain-management"/>
    <w:p>
      <w:pPr>
        <w:pStyle w:val="Heading3"/>
      </w:pPr>
      <w:r>
        <w:t xml:space="preserve">A. Diversified Supply Chain Management</w:t>
      </w:r>
    </w:p>
    <w:p>
      <w:pPr>
        <w:pStyle w:val="FirstParagraph"/>
      </w:pPr>
      <w:r>
        <w:t xml:space="preserve">To mitigate supply risks, the clinic established relationships with multiple international suppliers in neighboring Colombia and Panama, rather than relying on a single source. They also implemented a "just-in-case" inventory model for critical items like local anesthetics and basic restorative materials.</w:t>
      </w:r>
    </w:p>
    <w:bookmarkEnd w:id="26"/>
    <w:bookmarkStart w:id="27" w:name="b.-technology-adoption-for-efficiency"/>
    <w:p>
      <w:pPr>
        <w:pStyle w:val="Heading3"/>
      </w:pPr>
      <w:r>
        <w:t xml:space="preserve">B. Technology Adoption for Efficiency</w:t>
      </w:r>
    </w:p>
    <w:p>
      <w:pPr>
        <w:pStyle w:val="FirstParagraph"/>
      </w:pPr>
      <w:r>
        <w:t xml:space="preserve">The clinic adopted cloud-based practice management software that could be accessed offline, syncing when internet connectivity was restored. This allowed receptionists in Caracas to schedule appointments and maintain patient records without constant disruption. Furthermore, the adoption of intraoral cameras helped patients visualize their dental health issues, leading to higher acceptance rates for recommended treatments.</w:t>
      </w:r>
    </w:p>
    <w:bookmarkEnd w:id="27"/>
    <w:bookmarkStart w:id="28" w:name="c.-flexible-pricing-models"/>
    <w:p>
      <w:pPr>
        <w:pStyle w:val="Heading3"/>
      </w:pPr>
      <w:r>
        <w:t xml:space="preserve">C. Flexible Pricing Models</w:t>
      </w:r>
    </w:p>
    <w:p>
      <w:pPr>
        <w:pStyle w:val="FirstParagraph"/>
      </w:pPr>
      <w:r>
        <w:t xml:space="preserve">To address economic challenges in Venezuela Caracas, the clinic introduced a hybrid payment system. They accepted payments in both local currency (Bolívars) at daily exchange rates and direct USD cash or digital transfers. Additionally, they offered packaged pricing for preventive care to encourage regular visits rather than emergency-only interventions.</w:t>
      </w:r>
    </w:p>
    <w:bookmarkEnd w:id="28"/>
    <w:bookmarkEnd w:id="29"/>
    <w:bookmarkStart w:id="30" w:name="results-and-outcomes"/>
    <w:p>
      <w:pPr>
        <w:pStyle w:val="Heading2"/>
      </w:pPr>
      <w:r>
        <w:t xml:space="preserve">5. Results and Outcomes</w:t>
      </w:r>
    </w:p>
    <w:p>
      <w:pPr>
        <w:pStyle w:val="FirstParagraph"/>
      </w:pPr>
      <w:r>
        <w:t xml:space="preserve">Metric</w:t>
      </w:r>
    </w:p>
    <w:p>
      <w:pPr>
        <w:pStyle w:val="BodyText"/>
      </w:pPr>
      <w:r>
        <w:t xml:space="preserve">Status Before Adaptation (2019)</w:t>
      </w:r>
    </w:p>
    <w:p>
      <w:pPr>
        <w:pStyle w:val="BodyText"/>
      </w:pPr>
      <w:r>
        <w:t xml:space="preserve">Status After Adaptation (2023)</w:t>
      </w:r>
    </w:p>
    <w:p>
      <w:pPr>
        <w:pStyle w:val="BodyText"/>
      </w:pPr>
      <w:r>
        <w:t xml:space="preserve">infrastructure reliability</w:t>
      </w:r>
      <w:r>
        <w:t xml:space="preserve"> </w:t>
      </w:r>
      <w:r>
        <w:t xml:space="preserve">tbody tr td { vertical-align: top;} th, td { padding: 15px; text-align left} th { background-color #f8f9fa;}</w:t>
      </w:r>
      <w:r>
        <w:t xml:space="preserve"> </w:t>
      </w:r>
      <w:r>
        <w:t xml:space="preserve">table img src placeholder data:image/svg+xml;base64 PHN2ZyB4bWxucz0iaHR0cDovL3d3dy53My5vcmcvMjAwMC9zdmciIHdpZHRoPSI0MDAiIGhlaWdodD0iMjAwIiB2aWV3Qm94PSIwIDAgNDAwIDIwMCI+PHJlY3Qgd2lkdGg9IjEwMCUiIGhlaWdodD0iMTAwJSIgZmlsbD0iI2U4ZWFlYyIvPjx0ZXh0IHg9IjUwJSIgeT0iNTAlIiBmb250LWZhbWlseT1zYW5zLXNlcmlmIGZvbnQtc2l6ZT0iMjAiIGZpbGw9IiM4ODgiIHRleHQtYW5jaG9yPSJtaWRkbGUiIGR5PSIuM2VtIj5DZW50ZXIgSW1hZ2UgUGxhY2Vob2xkZXIgKEFwcGFpbnQgaGVyZSk8L3RleHQ+PC9zdmc+"&gt;</w:t>
      </w:r>
    </w:p>
    <w:p>
      <w:pPr>
        <w:pStyle w:val="BodyText"/>
      </w:pPr>
      <w:r>
        <w:rPr>
          <w:bCs/>
          <w:b/>
        </w:rPr>
        <w:t xml:space="preserve">Patient Retention Rate</w:t>
      </w:r>
    </w:p>
    <w:p>
      <w:pPr>
        <w:pStyle w:val="BodyText"/>
      </w:pPr>
      <w:r>
        <w:t xml:space="preserve">65%</w:t>
      </w:r>
    </w:p>
    <w:p>
      <w:pPr>
        <w:pStyle w:val="BodyText"/>
      </w:pPr>
      <w:r>
        <w:rPr>
          <w:bCs/>
          <w:b/>
        </w:rPr>
        <w:t xml:space="preserve">82%</w:t>
      </w:r>
    </w:p>
    <w:p>
      <w:pPr>
        <w:pStyle w:val="BodyText"/>
      </w:pPr>
      <w:r>
        <w:rPr>
          <w:bCs/>
          <w:b/>
        </w:rPr>
        <w:t xml:space="preserve">Average Procedure Cost (Adjusted)</w:t>
      </w:r>
    </w:p>
    <w:p>
      <w:pPr>
        <w:pStyle w:val="BodyText"/>
      </w:pPr>
      <w:r>
        <w:t xml:space="preserve">Stable, but low volume</w:t>
      </w:r>
    </w:p>
    <w:p>
      <w:pPr>
        <w:pStyle w:val="BodyText"/>
      </w:pPr>
      <w:r>
        <w:rPr>
          <w:bCs/>
          <w:b/>
        </w:rPr>
        <w:t xml:space="preserve">Increased by 25% due to value-added services</w:t>
      </w:r>
    </w:p>
    <w:p>
      <w:pPr>
        <w:pStyle w:val="BodyText"/>
      </w:pPr>
      <w:r>
        <w:rPr>
          <w:bCs/>
          <w:b/>
        </w:rPr>
        <w:t xml:space="preserve">Equipment Downtime</w:t>
      </w:r>
    </w:p>
    <w:p>
      <w:pPr>
        <w:pStyle w:val="BodyText"/>
      </w:pPr>
      <w:r>
        <w:t xml:space="preserve">High (due to power cuts)</w:t>
      </w:r>
    </w:p>
    <w:p>
      <w:pPr>
        <w:pStyle w:val="BodyText"/>
      </w:pPr>
      <w:r>
        <w:rPr>
          <w:bCs/>
          <w:b/>
        </w:rPr>
        <w:t xml:space="preserve">Near Zero (due to backup systems)</w:t>
      </w:r>
    </w:p>
    <w:p>
      <w:pPr>
        <w:pStyle w:val="BodyText"/>
      </w:pPr>
      <w:r>
        <w:t xml:space="preserve">The implementation of these strategies led to a significant increase in patient trust. In Caracas, word-of-mouth is powerful; patients appreciated the reliability of the clinic despite external chaos.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Dental Practice Modernization in Venezuela Caracas</dc:title>
  <dc:creator/>
  <dc:language>en</dc:language>
  <cp:keywords/>
  <dcterms:created xsi:type="dcterms:W3CDTF">2026-07-29T10:32:42Z</dcterms:created>
  <dcterms:modified xsi:type="dcterms:W3CDTF">2026-07-29T10:32:42Z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