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Australia</w:t>
      </w:r>
      <w:r>
        <w:t xml:space="preserve"> </w:t>
      </w:r>
      <w:r>
        <w:t xml:space="preserve">Brisbane</w:t>
      </w:r>
    </w:p>
    <w:bookmarkStart w:id="38" w:name="X18192df1927c9328c341dfa3d4d361f35167499"/>
    <w:p>
      <w:pPr>
        <w:pStyle w:val="Heading1"/>
      </w:pPr>
      <w:r>
        <w:t xml:space="preserve">A Comprehensive Case Study on the Clinical Efficacy of a Certified Dietitian in Australia Brisbane</w:t>
      </w:r>
    </w:p>
    <w:p>
      <w:pPr>
        <w:pStyle w:val="FirstParagraph"/>
      </w:pPr>
      <w:r>
        <w:t xml:space="preserve">Prepared for Stakeholders, Healthcare Providers, and Patients within the Queensland Health System</w:t>
      </w:r>
    </w:p>
    <w:bookmarkStart w:id="20" w:name="abstract"/>
    <w:p>
      <w:pPr>
        <w:pStyle w:val="Heading2"/>
      </w:pPr>
      <w:r>
        <w:t xml:space="preserve">Abstract</w:t>
      </w:r>
    </w:p>
    <w:p>
      <w:pPr>
        <w:pStyle w:val="FirstParagraph"/>
      </w:pPr>
      <w:r>
        <w:t xml:space="preserve">This document presents an in-depth case study detailing the professional intervention of a qualified</w:t>
      </w:r>
      <w:r>
        <w:t xml:space="preserve"> </w:t>
      </w:r>
      <w:r>
        <w:rPr>
          <w:bCs/>
          <w:b/>
        </w:rPr>
        <w:t xml:space="preserve">Dietitian</w:t>
      </w:r>
      <w:r>
        <w:t xml:space="preserve"> </w:t>
      </w:r>
      <w:r>
        <w:t xml:space="preserve">operating within the diverse healthcare landscape of</w:t>
      </w:r>
      <w:r>
        <w:t xml:space="preserve"> </w:t>
      </w:r>
      <w:r>
        <w:rPr>
          <w:bCs/>
          <w:b/>
        </w:rPr>
        <w:t xml:space="preserve">Australia Brisbane</w:t>
      </w:r>
      <w:r>
        <w:t xml:space="preserve">. The primary objective is to analyze how evidence-based nutritional therapy, tailored to local cultural and geographical contexts, influences patient outcomes. By examining specific clinical scenarios ranging from chronic disease management to pediatric nutrition support, this study highlights the critical value that specialized dietary guidance provides in modern medical practice across</w:t>
      </w:r>
      <w:r>
        <w:t xml:space="preserve"> </w:t>
      </w:r>
      <w:r>
        <w:rPr>
          <w:bCs/>
          <w:b/>
        </w:rPr>
        <w:t xml:space="preserve">Australia Brisbane</w:t>
      </w:r>
      <w:r>
        <w:t xml:space="preserve">.</w:t>
      </w:r>
    </w:p>
    <w:bookmarkEnd w:id="20"/>
    <w:bookmarkStart w:id="21" w:name="X77d8839e2de9268860f6f16ef9b93f6e1834e37"/>
    <w:p>
      <w:pPr>
        <w:pStyle w:val="Heading2"/>
      </w:pPr>
      <w:r>
        <w:t xml:space="preserve">1. Introduction: The Context of Nutrition in Australia Brisbane</w:t>
      </w:r>
    </w:p>
    <w:p>
      <w:pPr>
        <w:pStyle w:val="FirstParagraph"/>
      </w:pPr>
      <w:r>
        <w:t xml:space="preserve">The city of</w:t>
      </w:r>
      <w:r>
        <w:t xml:space="preserve"> </w:t>
      </w:r>
      <w:r>
        <w:rPr>
          <w:bCs/>
          <w:b/>
        </w:rPr>
        <w:t xml:space="preserve">Australia Brisbane</w:t>
      </w:r>
      <w:r>
        <w:t xml:space="preserve"> </w:t>
      </w:r>
      <w:r>
        <w:t xml:space="preserve">is not merely a geographical location but a complex ecosystem influencing public health. Known for its subtropical climate, vibrant outdoor lifestyle, and multicultural population, the nutritional needs of residents are as diverse as they are unique. The prevalence of non-communicable diseases such as type 2 diabetes, cardiovascular disease, and obesity presents significant challenges to the healthcare system.</w:t>
      </w:r>
    </w:p>
    <w:p>
      <w:pPr>
        <w:pStyle w:val="BodyText"/>
      </w:pPr>
      <w:r>
        <w:t xml:space="preserve">In this context, the role of a</w:t>
      </w:r>
      <w:r>
        <w:t xml:space="preserve"> </w:t>
      </w:r>
      <w:r>
        <w:rPr>
          <w:bCs/>
          <w:b/>
        </w:rPr>
        <w:t xml:space="preserve">Dietitian</w:t>
      </w:r>
      <w:r>
        <w:t xml:space="preserve"> </w:t>
      </w:r>
      <w:r>
        <w:t xml:space="preserve">extends beyond simple meal planning. A</w:t>
      </w:r>
      <w:r>
        <w:t xml:space="preserve"> </w:t>
      </w:r>
      <w:r>
        <w:rPr>
          <w:bCs/>
          <w:b/>
        </w:rPr>
        <w:t xml:space="preserve">Dietitian</w:t>
      </w:r>
      <w:r>
        <w:t xml:space="preserve"> </w:t>
      </w:r>
      <w:r>
        <w:t xml:space="preserve">serves as an allied health professional who translates complex nutritional science into actionable lifestyle changes. In</w:t>
      </w:r>
      <w:r>
        <w:t xml:space="preserve"> </w:t>
      </w:r>
      <w:r>
        <w:rPr>
          <w:bCs/>
          <w:b/>
        </w:rPr>
        <w:t xml:space="preserve">Australia Brisbane</w:t>
      </w:r>
      <w:r>
        <w:t xml:space="preserve">, where fresh produce is abundant year-round yet processed food consumption remains high, the intervention of a dietetic professional becomes a pivotal factor in preventive healthcare and chronic disease management.</w:t>
      </w:r>
    </w:p>
    <w:bookmarkEnd w:id="21"/>
    <w:bookmarkStart w:id="23" w:name="Xa8a53aa17b7e9619577d09b55c835276c82ef9c"/>
    <w:p>
      <w:pPr>
        <w:pStyle w:val="Heading2"/>
      </w:pPr>
      <w:r>
        <w:t xml:space="preserve">2. Profile of the Intervention: The Professional Dietitian</w:t>
      </w:r>
    </w:p>
    <w:p>
      <w:pPr>
        <w:pStyle w:val="FirstParagraph"/>
      </w:pPr>
      <w:r>
        <w:t xml:space="preserve">The case study focuses on a registered</w:t>
      </w:r>
      <w:r>
        <w:t xml:space="preserve"> </w:t>
      </w:r>
      <w:r>
        <w:rPr>
          <w:bCs/>
          <w:b/>
        </w:rPr>
        <w:t xml:space="preserve">Dietitian</w:t>
      </w:r>
      <w:r>
        <w:t xml:space="preserve"> </w:t>
      </w:r>
      <w:r>
        <w:t xml:space="preserve">practicing in inner-city</w:t>
      </w:r>
      <w:r>
        <w:t xml:space="preserve"> </w:t>
      </w:r>
      <w:r>
        <w:rPr>
          <w:bCs/>
          <w:b/>
        </w:rPr>
        <w:t xml:space="preserve">Australia Brisbane</w:t>
      </w:r>
      <w:r>
        <w:t xml:space="preserve">. This practitioner holds credentials with Dietitians Australia, ensuring adherence to strict ethical standards and evidence-based practices. Unlike general wellness coaches, this</w:t>
      </w:r>
      <w:r>
        <w:t xml:space="preserve"> </w:t>
      </w:r>
      <w:r>
        <w:rPr>
          <w:bCs/>
          <w:b/>
        </w:rPr>
        <w:t xml:space="preserve">Dietitian</w:t>
      </w:r>
      <w:r>
        <w:t xml:space="preserve"> </w:t>
      </w:r>
      <w:r>
        <w:t xml:space="preserve">operates within a multidisciplinary team involving general practitioners (GPs), endocrinologists, and psychologists.</w:t>
      </w:r>
    </w:p>
    <w:bookmarkStart w:id="22" w:name="scope-of-practice-in-australia-brisbane"/>
    <w:p>
      <w:pPr>
        <w:pStyle w:val="Heading3"/>
      </w:pPr>
      <w:r>
        <w:t xml:space="preserve">2.1 Scope of Practice in Australia Brisbane</w:t>
      </w:r>
    </w:p>
    <w:p>
      <w:pPr>
        <w:numPr>
          <w:ilvl w:val="0"/>
          <w:numId w:val="1001"/>
        </w:numPr>
        <w:pStyle w:val="Compact"/>
      </w:pPr>
      <w:r>
        <w:t xml:space="preserve">Clinical Nutrition Therapy: Managing medical conditions such as IBS, Coeliac disease, and renal failure.</w:t>
      </w:r>
    </w:p>
    <w:p>
      <w:pPr>
        <w:numPr>
          <w:ilvl w:val="0"/>
          <w:numId w:val="1001"/>
        </w:numPr>
        <w:pStyle w:val="Compact"/>
      </w:pPr>
      <w:r>
        <w:t xml:space="preserve">Pediatric &amp; Maternal Health: Supporting growth milestones and gestational diabetes management.</w:t>
      </w:r>
    </w:p>
    <w:p>
      <w:pPr>
        <w:numPr>
          <w:ilvl w:val="0"/>
          <w:numId w:val="1001"/>
        </w:numPr>
        <w:pStyle w:val="Compact"/>
      </w:pPr>
      <w:r>
        <w:t xml:space="preserve">Sports Nutrition: Optimizing performance for local athletic communities engaged in surfing, running, and triathlons common in</w:t>
      </w:r>
      <w:r>
        <w:t xml:space="preserve"> </w:t>
      </w:r>
      <w:r>
        <w:rPr>
          <w:bCs/>
          <w:b/>
        </w:rPr>
        <w:t xml:space="preserve">Australia Brisbane</w:t>
      </w:r>
      <w:r>
        <w:t xml:space="preserve">.</w:t>
      </w:r>
    </w:p>
    <w:bookmarkEnd w:id="22"/>
    <w:bookmarkEnd w:id="23"/>
    <w:bookmarkStart w:id="27" w:name="Xcf2cb16314eaac3b4a7dee241c5aefc666a8e04"/>
    <w:p>
      <w:pPr>
        <w:pStyle w:val="Heading2"/>
      </w:pPr>
      <w:r>
        <w:t xml:space="preserve">3. Case Scenario A: Chronic Disease Management</w:t>
      </w:r>
    </w:p>
    <w:p>
      <w:pPr>
        <w:pStyle w:val="FirstParagraph"/>
      </w:pPr>
      <w:r>
        <w:t xml:space="preserve">The first case involves "Patient X," a 54-year-old male residing in the suburbs of</w:t>
      </w:r>
      <w:r>
        <w:t xml:space="preserve"> </w:t>
      </w:r>
      <w:r>
        <w:rPr>
          <w:bCs/>
          <w:b/>
        </w:rPr>
        <w:t xml:space="preserve">Australia Brisbane</w:t>
      </w:r>
      <w:r>
        <w:t xml:space="preserve">. Patient X was diagnosed with pre-diabetes and had a Body Mass Index (BMI) indicative of obesity. Traditional advice given by his local GP included generic instructions to "eat healthier" and exercise more, which yielded minimal long-term results due to a lack of personalized strategy.</w:t>
      </w:r>
    </w:p>
    <w:bookmarkStart w:id="24" w:name="the-dietitians-approach"/>
    <w:p>
      <w:pPr>
        <w:pStyle w:val="Heading3"/>
      </w:pPr>
      <w:r>
        <w:t xml:space="preserve">3.1 The Dietitian’s Approach</w:t>
      </w:r>
    </w:p>
    <w:p>
      <w:pPr>
        <w:pStyle w:val="FirstParagraph"/>
      </w:pPr>
      <w:r>
        <w:t xml:space="preserve">The</w:t>
      </w:r>
      <w:r>
        <w:t xml:space="preserve"> </w:t>
      </w:r>
      <w:r>
        <w:rPr>
          <w:bCs/>
          <w:b/>
        </w:rPr>
        <w:t xml:space="preserve">Dietitian</w:t>
      </w:r>
      <w:r>
        <w:t xml:space="preserve"> </w:t>
      </w:r>
      <w:r>
        <w:t xml:space="preserve">initiated a comprehensive assessment, considering Patient X’s work schedule in the CBD, his access to local markets like the Roma Street Parkland vendors, and his cultural background which heavily influenced his dietary preferences. Rather than prescribing a restrictive diet, the</w:t>
      </w:r>
      <w:r>
        <w:t xml:space="preserve"> </w:t>
      </w:r>
      <w:r>
        <w:rPr>
          <w:bCs/>
          <w:b/>
        </w:rPr>
        <w:t xml:space="preserve">Dietitian</w:t>
      </w:r>
      <w:r>
        <w:t xml:space="preserve"> </w:t>
      </w:r>
      <w:r>
        <w:t xml:space="preserve">employed Motivational Interviewing techniques.</w:t>
      </w:r>
    </w:p>
    <w:bookmarkEnd w:id="24"/>
    <w:bookmarkStart w:id="25" w:name="intervention-strategy"/>
    <w:p>
      <w:pPr>
        <w:pStyle w:val="Heading3"/>
      </w:pPr>
      <w:r>
        <w:t xml:space="preserve">3.2 Intervention Strategy</w:t>
      </w:r>
    </w:p>
    <w:p>
      <w:pPr>
        <w:numPr>
          <w:ilvl w:val="0"/>
          <w:numId w:val="1002"/>
        </w:numPr>
        <w:pStyle w:val="Compact"/>
      </w:pPr>
      <w:r>
        <w:t xml:space="preserve">Carbohydrate Counting: The</w:t>
      </w:r>
      <w:r>
        <w:t xml:space="preserve"> </w:t>
      </w:r>
      <w:r>
        <w:rPr>
          <w:bCs/>
          <w:b/>
        </w:rPr>
        <w:t xml:space="preserve">Dietitian</w:t>
      </w:r>
      <w:r>
        <w:t xml:space="preserve"> </w:t>
      </w:r>
      <w:r>
        <w:t xml:space="preserve">taught Patient X how to identify low-glycemic index foods readily available in</w:t>
      </w:r>
    </w:p>
    <w:p>
      <w:pPr>
        <w:numPr>
          <w:ilvl w:val="0"/>
          <w:numId w:val="1000"/>
        </w:numPr>
        <w:pStyle w:val="Compact"/>
      </w:pPr>
      <w:r>
        <w:t xml:space="preserve">Australia Brisbanes supermarkets, such as local leafy greens and lean proteins.</w:t>
      </w:r>
    </w:p>
    <w:p>
      <w:pPr>
        <w:numPr>
          <w:ilvl w:val="0"/>
          <w:numId w:val="1002"/>
        </w:numPr>
        <w:pStyle w:val="Compact"/>
      </w:pPr>
      <w:r>
        <w:t xml:space="preserve">Social Integration: Strategies were developed to navigate social gatherings common in the vibrant dining culture of</w:t>
      </w:r>
      <w:r>
        <w:t xml:space="preserve"> </w:t>
      </w:r>
      <w:r>
        <w:rPr>
          <w:bCs/>
          <w:b/>
        </w:rPr>
        <w:t xml:space="preserve">Australia Brisbane</w:t>
      </w:r>
      <w:r>
        <w:t xml:space="preserve">, ensuring social inclusion without compromising health goals.</w:t>
      </w:r>
    </w:p>
    <w:p>
      <w:pPr>
        <w:numPr>
          <w:ilvl w:val="0"/>
          <w:numId w:val="1002"/>
        </w:numPr>
        <w:pStyle w:val="Compact"/>
      </w:pPr>
      <w:r>
        <w:t xml:space="preserve">Monitoring: Utilizing digital tools to track progress between monthly consultations in the</w:t>
      </w:r>
      <w:r>
        <w:t xml:space="preserve"> </w:t>
      </w:r>
      <w:r>
        <w:rPr>
          <w:bCs/>
          <w:b/>
        </w:rPr>
        <w:t xml:space="preserve">Australia Brisbane</w:t>
      </w:r>
      <w:r>
        <w:t xml:space="preserve"> </w:t>
      </w:r>
      <w:r>
        <w:t xml:space="preserve">clinic.</w:t>
      </w:r>
    </w:p>
    <w:bookmarkEnd w:id="25"/>
    <w:bookmarkStart w:id="26" w:name="outcomes"/>
    <w:p>
      <w:pPr>
        <w:pStyle w:val="Heading3"/>
      </w:pPr>
      <w:r>
        <w:t xml:space="preserve">3.2 Outcomes</w:t>
      </w:r>
    </w:p>
    <w:p>
      <w:pPr>
        <w:pStyle w:val="FirstParagraph"/>
      </w:pPr>
      <w:r>
        <w:t xml:space="preserve">After six months, Patient X achieved a 7% reduction in body weight and his HbA1c levels moved from the pre-diabetic range back to normal. The success was attributed not just to calorie restriction, but to the</w:t>
      </w:r>
      <w:r>
        <w:t xml:space="preserve"> </w:t>
      </w:r>
      <w:r>
        <w:rPr>
          <w:bCs/>
          <w:b/>
        </w:rPr>
        <w:t xml:space="preserve">Dietitian</w:t>
      </w:r>
      <w:r>
        <w:t xml:space="preserve">’s ability to contextualize nutrition within the lifestyle of</w:t>
      </w:r>
      <w:r>
        <w:t xml:space="preserve"> </w:t>
      </w:r>
      <w:r>
        <w:rPr>
          <w:bCs/>
          <w:b/>
        </w:rPr>
        <w:t xml:space="preserve">Australia Brisbane</w:t>
      </w:r>
      <w:r>
        <w:t xml:space="preserve">.</w:t>
      </w:r>
    </w:p>
    <w:bookmarkEnd w:id="26"/>
    <w:bookmarkEnd w:id="27"/>
    <w:bookmarkStart w:id="31" w:name="X2321881c746eadd2b4620243e010ae3ce113e14"/>
    <w:p>
      <w:pPr>
        <w:pStyle w:val="Heading2"/>
      </w:pPr>
      <w:r>
        <w:t xml:space="preserve">4. Case Scenario B: Paediatric Nutrition and Allergies</w:t>
      </w:r>
    </w:p>
    <w:p>
      <w:pPr>
        <w:pStyle w:val="FirstParagraph"/>
      </w:pPr>
      <w:r>
        <w:t xml:space="preserve">The second case involves "Patient Y," a 4-year-old female presenting with failure to thrive due to multiple food allergies. Her parents, living in the northern suburbs of</w:t>
      </w:r>
      <w:r>
        <w:t xml:space="preserve"> </w:t>
      </w:r>
      <w:r>
        <w:rPr>
          <w:bCs/>
          <w:b/>
        </w:rPr>
        <w:t xml:space="preserve">Australia Brisbane</w:t>
      </w:r>
      <w:r>
        <w:t xml:space="preserve">, were anxious about ensuring adequate nutrient intake while avoiding common allergens like eggs and dairy.</w:t>
      </w:r>
    </w:p>
    <w:bookmarkStart w:id="28" w:name="the-dietitians-approach-1"/>
    <w:p>
      <w:pPr>
        <w:pStyle w:val="Heading3"/>
      </w:pPr>
      <w:r>
        <w:t xml:space="preserve">4.1 The Dietitian’s Approach</w:t>
      </w:r>
    </w:p>
    <w:p>
      <w:pPr>
        <w:pStyle w:val="FirstParagraph"/>
      </w:pPr>
      <w:r>
        <w:t xml:space="preserve">The</w:t>
      </w:r>
      <w:r>
        <w:t xml:space="preserve"> </w:t>
      </w:r>
      <w:r>
        <w:rPr>
          <w:bCs/>
          <w:b/>
        </w:rPr>
        <w:t xml:space="preserve">Dietitian</w:t>
      </w:r>
      <w:r>
        <w:t xml:space="preserve"> </w:t>
      </w:r>
      <w:r>
        <w:t xml:space="preserve">collaborated with local paediatricians to ensure medical safety. Recognizing the specific seasonal produce available in</w:t>
      </w:r>
      <w:r>
        <w:t xml:space="preserve"> </w:t>
      </w:r>
      <w:r>
        <w:rPr>
          <w:bCs/>
          <w:b/>
        </w:rPr>
        <w:t xml:space="preserve">Australia Brisbane</w:t>
      </w:r>
      <w:r>
        <w:t xml:space="preserve">, the dietetic plan focused on nutrient-dense alternatives that were palatable for a young child.</w:t>
      </w:r>
    </w:p>
    <w:bookmarkEnd w:id="28"/>
    <w:bookmarkStart w:id="29" w:name="intervention-strategy-1"/>
    <w:p>
      <w:pPr>
        <w:pStyle w:val="Heading3"/>
      </w:pPr>
      <w:r>
        <w:t xml:space="preserve">4.2 Intervention Strategy</w:t>
      </w:r>
    </w:p>
    <w:p>
      <w:pPr>
        <w:numPr>
          <w:ilvl w:val="0"/>
          <w:numId w:val="1003"/>
        </w:numPr>
        <w:pStyle w:val="Compact"/>
      </w:pPr>
      <w:r>
        <w:t xml:space="preserve">Nutrient Substitution: The</w:t>
      </w:r>
      <w:r>
        <w:t xml:space="preserve"> </w:t>
      </w:r>
      <w:r>
        <w:rPr>
          <w:bCs/>
          <w:b/>
        </w:rPr>
        <w:t xml:space="preserve">Dietitian</w:t>
      </w:r>
      <w:r>
        <w:t xml:space="preserve"> </w:t>
      </w:r>
      <w:r>
        <w:t xml:space="preserve">formulated a plan replacing dairy calcium with fortified plant-based milks and leafy greens native to the region.</w:t>
      </w:r>
    </w:p>
    <w:p>
      <w:pPr>
        <w:numPr>
          <w:ilvl w:val="0"/>
          <w:numId w:val="1003"/>
        </w:numPr>
        <w:pStyle w:val="Compact"/>
      </w:pPr>
      <w:r>
        <w:t xml:space="preserve">Educational Support: Parents were educated on reading Australian Food Standards labels, a crucial skill for managing allergies in</w:t>
      </w:r>
      <w:r>
        <w:t xml:space="preserve"> </w:t>
      </w:r>
      <w:r>
        <w:rPr>
          <w:bCs/>
          <w:b/>
        </w:rPr>
        <w:t xml:space="preserve">Australia Brisbane</w:t>
      </w:r>
      <w:r>
        <w:t xml:space="preserve">.</w:t>
      </w:r>
    </w:p>
    <w:bookmarkEnd w:id="29"/>
    <w:bookmarkStart w:id="30" w:name="outcomes-1"/>
    <w:p>
      <w:pPr>
        <w:pStyle w:val="Heading3"/>
      </w:pPr>
      <w:r>
        <w:t xml:space="preserve">4.3 Outcomes</w:t>
      </w:r>
    </w:p>
    <w:p>
      <w:pPr>
        <w:pStyle w:val="FirstParagraph"/>
      </w:pPr>
      <w:r>
        <w:t xml:space="preserve">Patient Y’s growth curve normalized within four months. The family reported increased confidence in meal preparation and reduced anxiety regarding dining out in restaurants across</w:t>
      </w:r>
      <w:r>
        <w:t xml:space="preserve"> </w:t>
      </w:r>
      <w:r>
        <w:rPr>
          <w:bCs/>
          <w:b/>
        </w:rPr>
        <w:t xml:space="preserve">Australia Brisbane</w:t>
      </w:r>
      <w:r>
        <w:t xml:space="preserve">.</w:t>
      </w:r>
    </w:p>
    <w:bookmarkEnd w:id="30"/>
    <w:bookmarkEnd w:id="31"/>
    <w:bookmarkStart w:id="32" w:name="Xc8ea576d0ce2d1f99397027dc71d4f1bfaa6b97"/>
    <w:p>
      <w:pPr>
        <w:pStyle w:val="Heading2"/>
      </w:pPr>
      <w:r>
        <w:t xml:space="preserve">5. Challenges and Solutions for Dietitians in Australia Brisbane</w:t>
      </w:r>
    </w:p>
    <w:p>
      <w:pPr>
        <w:pStyle w:val="FirstParagraph"/>
      </w:pPr>
      <w:r>
        <w:t xml:space="preserve">Practicing as a</w:t>
      </w:r>
      <w:r>
        <w:t xml:space="preserve"> </w:t>
      </w:r>
      <w:r>
        <w:rPr>
          <w:bCs/>
          <w:b/>
        </w:rPr>
        <w:t xml:space="preserve">Dietitian</w:t>
      </w:r>
      <w:r>
        <w:t xml:space="preserve"> </w:t>
      </w:r>
      <w:r>
        <w:t xml:space="preserve">in</w:t>
      </w:r>
      <w:r>
        <w:t xml:space="preserve"> </w:t>
      </w:r>
      <w:r>
        <w:rPr>
          <w:bCs/>
          <w:b/>
        </w:rPr>
        <w:t xml:space="preserve">Australia Brisbane</w:t>
      </w:r>
      <w:r>
        <w:t xml:space="preserve"> </w:t>
      </w:r>
      <w:r>
        <w:t xml:space="preserve">presents unique challenges that must be addressed to ensure high-quality care.</w:t>
      </w:r>
    </w:p>
    <w:p>
      <w:pPr>
        <w:numPr>
          <w:ilvl w:val="0"/>
          <w:numId w:val="1004"/>
        </w:numPr>
        <w:pStyle w:val="Compact"/>
      </w:pPr>
      <w:r>
        <w:rPr>
          <w:bCs/>
          <w:b/>
        </w:rPr>
        <w:t xml:space="preserve">Socioeconomic Disparities:</w:t>
      </w:r>
      <w:r>
        <w:t xml:space="preserve"> </w:t>
      </w:r>
      <w:r>
        <w:t xml:space="preserve">Access to fresh, high-quality nutrition varies across</w:t>
      </w:r>
      <w:r>
        <w:t xml:space="preserve"> </w:t>
      </w:r>
      <w:r>
        <w:rPr>
          <w:bCs/>
          <w:b/>
        </w:rPr>
        <w:t xml:space="preserve">Australia Brisbane</w:t>
      </w:r>
      <w:r>
        <w:t xml:space="preserve">. The</w:t>
      </w:r>
      <w:r>
        <w:t xml:space="preserve"> </w:t>
      </w:r>
      <w:r>
        <w:rPr>
          <w:bCs/>
          <w:b/>
        </w:rPr>
        <w:t xml:space="preserve">Dietitian</w:t>
      </w:r>
      <w:r>
        <w:t xml:space="preserve"> </w:t>
      </w:r>
      <w:r>
        <w:t xml:space="preserve">must often advocate for affordable meal solutions tailored to low-income households.</w:t>
      </w:r>
    </w:p>
    <w:p>
      <w:pPr>
        <w:numPr>
          <w:ilvl w:val="0"/>
          <w:numId w:val="1004"/>
        </w:numPr>
        <w:pStyle w:val="Compact"/>
      </w:pPr>
      <w:r>
        <w:t xml:space="preserve">Cultural Diversity:</w:t>
      </w:r>
    </w:p>
    <w:p>
      <w:pPr>
        <w:numPr>
          <w:ilvl w:val="0"/>
          <w:numId w:val="1004"/>
        </w:numPr>
        <w:pStyle w:val="Compact"/>
      </w:pPr>
      <w:r>
        <w:t xml:space="preserve">Climate Influences:</w:t>
      </w:r>
      <w:r>
        <w:t xml:space="preserve"> </w:t>
      </w:r>
      <w:r>
        <w:t xml:space="preserve">The hot weather in</w:t>
      </w:r>
      <w:r>
        <w:t xml:space="preserve"> </w:t>
      </w:r>
      <w:r>
        <w:rPr>
          <w:bCs/>
          <w:b/>
        </w:rPr>
        <w:t xml:space="preserve">Australia Brisbane</w:t>
      </w:r>
      <w:r>
        <w:t xml:space="preserve"> </w:t>
      </w:r>
      <w:r>
        <w:t xml:space="preserve">affects hydration and appetite. Dietetic advice must include specific fluid management strategies.</w:t>
      </w:r>
    </w:p>
    <w:bookmarkEnd w:id="32"/>
    <w:bookmarkStart w:id="33" w:name="economic-and-social-impact"/>
    <w:p>
      <w:pPr>
        <w:pStyle w:val="Heading2"/>
      </w:pPr>
      <w:r>
        <w:t xml:space="preserve">6. Economic and Social Impact</w:t>
      </w:r>
    </w:p>
    <w:p>
      <w:pPr>
        <w:pStyle w:val="FirstParagraph"/>
      </w:pPr>
      <w:r>
        <w:t xml:space="preserve">The investment in</w:t>
      </w:r>
      <w:r>
        <w:t xml:space="preserve"> </w:t>
      </w:r>
      <w:r>
        <w:rPr>
          <w:bCs/>
          <w:b/>
        </w:rPr>
        <w:t xml:space="preserve">Dietitian</w:t>
      </w:r>
      <w:r>
        <w:t xml:space="preserve"> </w:t>
      </w:r>
      <w:r>
        <w:t xml:space="preserve">services within</w:t>
      </w:r>
      <w:r>
        <w:t xml:space="preserve"> </w:t>
      </w:r>
      <w:r>
        <w:rPr>
          <w:bCs/>
          <w:b/>
        </w:rPr>
        <w:t xml:space="preserve">Australia Brisbane</w:t>
      </w:r>
      <w:r>
        <w:t xml:space="preserve"> </w:t>
      </w:r>
      <w:r>
        <w:t xml:space="preserve">yields significant economic returns. By preventing hospital readmissions for chronic disease patients and reducing the long-term burden of diabetes care, the healthcare system saves millions annually. Furthermore, a healthy population contributes to a more productive workforce in one of Australia’s fastest-growing cities.</w:t>
      </w:r>
    </w:p>
    <w:p>
      <w:pPr>
        <w:pStyle w:val="BodyText"/>
      </w:pPr>
      <w:r>
        <w:t xml:space="preserve">Community health initiatives led by</w:t>
      </w:r>
      <w:r>
        <w:t xml:space="preserve"> </w:t>
      </w:r>
      <w:r>
        <w:rPr>
          <w:bCs/>
          <w:b/>
        </w:rPr>
        <w:t xml:space="preserve">Dietitians</w:t>
      </w:r>
      <w:r>
        <w:t xml:space="preserve"> </w:t>
      </w:r>
      <w:r>
        <w:t xml:space="preserve">in</w:t>
      </w:r>
      <w:r>
        <w:t xml:space="preserve"> </w:t>
      </w:r>
      <w:r>
        <w:rPr>
          <w:bCs/>
          <w:b/>
        </w:rPr>
        <w:t xml:space="preserve">Australia Brisbane</w:t>
      </w:r>
      <w:r>
        <w:t xml:space="preserve">, such as school workshops and senior citizen nutrition programs, foster community resilience and social cohesion.</w:t>
      </w:r>
    </w:p>
    <w:bookmarkEnd w:id="33"/>
    <w:bookmarkStart w:id="34" w:name="conclusion"/>
    <w:p>
      <w:pPr>
        <w:pStyle w:val="Heading2"/>
      </w:pPr>
      <w:r>
        <w:t xml:space="preserve">7. Conclusion</w:t>
      </w:r>
    </w:p>
    <w:p>
      <w:pPr>
        <w:pStyle w:val="FirstParagraph"/>
      </w:pPr>
      <w:r>
        <w:t xml:space="preserve">This case study demonstrates that the professional services of a</w:t>
      </w:r>
      <w:r>
        <w:t xml:space="preserve"> </w:t>
      </w:r>
      <w:r>
        <w:rPr>
          <w:bCs/>
          <w:b/>
        </w:rPr>
        <w:t xml:space="preserve">Dietitian</w:t>
      </w:r>
      <w:r>
        <w:t xml:space="preserve"> </w:t>
      </w:r>
      <w:r>
        <w:t xml:space="preserve">are indispensable in the healthcare framework of</w:t>
      </w:r>
      <w:r>
        <w:t xml:space="preserve"> </w:t>
      </w:r>
      <w:r>
        <w:rPr>
          <w:bCs/>
          <w:b/>
        </w:rPr>
        <w:t xml:space="preserve">Australia Brisbane</w:t>
      </w:r>
      <w:r>
        <w:t xml:space="preserve">. Through personalized, evidence-based interventions, dietitians address the specific nutritional challenges faced by residents in this dynamic city. Whether managing chronic conditions like diabetes or supporting vulnerable populations such as children with allergies, the expertise of a</w:t>
      </w:r>
      <w:r>
        <w:t xml:space="preserve"> </w:t>
      </w:r>
      <w:r>
        <w:rPr>
          <w:bCs/>
          <w:b/>
        </w:rPr>
        <w:t xml:space="preserve">Dietitian</w:t>
      </w:r>
      <w:r>
        <w:t xml:space="preserve"> </w:t>
      </w:r>
      <w:r>
        <w:t xml:space="preserve">directly correlates with improved patient quality of life and clinical outcomes.</w:t>
      </w:r>
    </w:p>
    <w:p>
      <w:pPr>
        <w:pStyle w:val="BodyText"/>
      </w:pPr>
      <w:r>
        <w:t xml:space="preserve">For individuals and families residing in</w:t>
      </w:r>
      <w:r>
        <w:t xml:space="preserve"> </w:t>
      </w:r>
      <w:r>
        <w:rPr>
          <w:bCs/>
          <w:b/>
        </w:rPr>
        <w:t xml:space="preserve">Australia Brisbane</w:t>
      </w:r>
      <w:r>
        <w:t xml:space="preserve">, seeking the guidance of a registered</w:t>
      </w:r>
      <w:r>
        <w:t xml:space="preserve"> </w:t>
      </w:r>
      <w:r>
        <w:rPr>
          <w:bCs/>
          <w:b/>
        </w:rPr>
        <w:t xml:space="preserve">Dietitian</w:t>
      </w:r>
      <w:r>
        <w:t xml:space="preserve"> </w:t>
      </w:r>
      <w:r>
        <w:t xml:space="preserve">is not merely a luxury but a strategic health decision. As the healthcare landscape continues to evolve, the integration of dietetic practice into mainstream medical care in</w:t>
      </w:r>
      <w:r>
        <w:t xml:space="preserve"> </w:t>
      </w:r>
      <w:r>
        <w:rPr>
          <w:bCs/>
          <w:b/>
        </w:rPr>
        <w:t xml:space="preserve">Australia Brisbane</w:t>
      </w:r>
      <w:r>
        <w:t xml:space="preserve"> </w:t>
      </w:r>
      <w:r>
        <w:t xml:space="preserve">will remain essential for achieving public health excellence.</w:t>
      </w:r>
    </w:p>
    <w:bookmarkEnd w:id="34"/>
    <w:bookmarkStart w:id="35" w:name="X3adfaebb7235d6f1501b800fc0103c2bbc20a4f"/>
    <w:p>
      <w:pPr>
        <w:pStyle w:val="Heading2"/>
      </w:pPr>
      <w:r>
        <w:t xml:space="preserve">8. Recommendations for Patients and Providers in Australia Brisbane</w:t>
      </w:r>
    </w:p>
    <w:p>
      <w:pPr>
        <w:numPr>
          <w:ilvl w:val="0"/>
          <w:numId w:val="1005"/>
        </w:numPr>
        <w:pStyle w:val="Compact"/>
      </w:pPr>
      <w:r>
        <w:t xml:space="preserve">For Patients:</w:t>
      </w:r>
      <w:r>
        <w:t xml:space="preserve"> </w:t>
      </w:r>
      <w:r>
        <w:t xml:space="preserve">Seek out dietitians who are members of Dietitians Australia and have experience dealing with conditions prevalent in</w:t>
      </w:r>
      <w:r>
        <w:t xml:space="preserve"> </w:t>
      </w:r>
      <w:r>
        <w:rPr>
          <w:bCs/>
          <w:b/>
        </w:rPr>
        <w:t xml:space="preserve">Australia Brisbane</w:t>
      </w:r>
      <w:r>
        <w:t xml:space="preserve">.</w:t>
      </w:r>
    </w:p>
    <w:p>
      <w:pPr>
        <w:numPr>
          <w:ilvl w:val="0"/>
          <w:numId w:val="1005"/>
        </w:numPr>
        <w:pStyle w:val="Compact"/>
      </w:pPr>
      <w:r>
        <w:t xml:space="preserve">For Providers:</w:t>
      </w:r>
      <w:r>
        <w:t xml:space="preserve"> </w:t>
      </w:r>
      <w:r>
        <w:t xml:space="preserve">Integrate dietetic consultations as a standard part of chronic disease management protocols in clinics across</w:t>
      </w:r>
      <w:r>
        <w:t xml:space="preserve"> </w:t>
      </w:r>
      <w:r>
        <w:rPr>
          <w:bCs/>
          <w:b/>
        </w:rPr>
        <w:t xml:space="preserve">Australia Brisbane</w:t>
      </w:r>
      <w:r>
        <w:t xml:space="preserve">.</w:t>
      </w:r>
    </w:p>
    <w:p>
      <w:pPr>
        <w:numPr>
          <w:ilvl w:val="0"/>
          <w:numId w:val="1005"/>
        </w:numPr>
        <w:pStyle w:val="Compact"/>
      </w:pPr>
      <w:r>
        <w:t xml:space="preserve">For Policy Makers:</w:t>
      </w:r>
      <w:r>
        <w:t xml:space="preserve"> </w:t>
      </w:r>
      <w:r>
        <w:t xml:space="preserve">Increase Medicare rebates to make</w:t>
      </w:r>
      <w:r>
        <w:t xml:space="preserve"> </w:t>
      </w:r>
      <w:r>
        <w:rPr>
          <w:bCs/>
          <w:b/>
        </w:rPr>
        <w:t xml:space="preserve">Dietitian</w:t>
      </w:r>
      <w:r>
        <w:t xml:space="preserve"> </w:t>
      </w:r>
      <w:r>
        <w:t xml:space="preserve">services more accessible to low-income communities throughout the metropolitan area of</w:t>
      </w:r>
      <w:r>
        <w:t xml:space="preserve"> </w:t>
      </w:r>
      <w:r>
        <w:rPr>
          <w:bCs/>
          <w:b/>
        </w:rPr>
        <w:t xml:space="preserve">Australia Brisbane</w:t>
      </w:r>
      <w:r>
        <w:t xml:space="preserve">.</w:t>
      </w:r>
    </w:p>
    <w:bookmarkEnd w:id="35"/>
    <w:bookmarkStart w:id="37" w:name="contact-and-further-information"/>
    <w:p>
      <w:pPr>
        <w:pStyle w:val="Heading2"/>
      </w:pPr>
      <w:r>
        <w:t xml:space="preserve">Contact and Further Information</w:t>
      </w:r>
    </w:p>
    <w:p>
      <w:pPr>
        <w:pStyle w:val="FirstParagraph"/>
      </w:pPr>
      <w:hyperlink w:anchor="Xa39a3ee5e6b4b0d3255bfef95601890afd80709">
        <w:r>
          <w:rPr>
            <w:rStyle w:val="Hyperlink"/>
          </w:rPr>
          <w:t xml:space="preserve">Find a Dietitian in Australia Brisbane</w:t>
        </w:r>
      </w:hyperlink>
      <w:r>
        <w:t xml:space="preserve"> </w:t>
      </w:r>
      <w:hyperlink w:anchor="Xa39a3ee5e6b4b0d3255bfef95601890afd80709">
        <w:r>
          <w:rPr>
            <w:rStyle w:val="Hyperlink"/>
          </w:rPr>
          <w:t xml:space="preserve">Download Full Report PDF</w:t>
        </w:r>
      </w:hyperlink>
    </w:p>
    <w:bookmarkStart w:id="36" w:name="disclaimer"/>
    <w:p>
      <w:pPr>
        <w:pStyle w:val="Heading4"/>
      </w:pPr>
      <w:r>
        <w:t xml:space="preserve">Disclaimer:</w:t>
      </w:r>
    </w:p>
    <w:p>
      <w:pPr>
        <w:pStyle w:val="FirstParagraph"/>
      </w:pPr>
      <w:r>
        <w:t xml:space="preserve">This case study is for informational and educational purposes only. It does not constitute medical advice. Patients should always consult with a qualified healthcare professional or registered Dietitian in Australia Brisbane before making significant changes to their diet or treatment plans.</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Dietitian in Australia Brisbane</dc:title>
  <dc:creator/>
  <dc:language>en</dc:language>
  <cp:keywords/>
  <dcterms:created xsi:type="dcterms:W3CDTF">2026-07-29T03:25:12Z</dcterms:created>
  <dcterms:modified xsi:type="dcterms:W3CDTF">2026-07-29T03:25:12Z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