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Germany,</w:t>
      </w:r>
      <w:r>
        <w:t xml:space="preserve"> </w:t>
      </w:r>
      <w:r>
        <w:t xml:space="preserve">Berlin</w:t>
      </w:r>
    </w:p>
    <w:bookmarkStart w:id="34" w:name="X95e89a39c2c461286473a5547d60903954488c4"/>
    <w:p>
      <w:pPr>
        <w:pStyle w:val="Heading1"/>
      </w:pPr>
      <w:r>
        <w:t xml:space="preserve">Case Study: Integrating Professional Dietitian Services into Urban Healthcare in Germany, Berlin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Focus Region:</w:t>
      </w:r>
      <w:r>
        <w:t xml:space="preserve"> </w:t>
      </w:r>
      <w:r>
        <w:t xml:space="preserve">Germany, Berlin</w:t>
      </w:r>
    </w:p>
    <w:bookmarkStart w:id="20" w:name="executive-summary"/>
    <w:p>
      <w:pPr>
        <w:pStyle w:val="Heading2"/>
      </w:pPr>
      <w:r>
        <w:t xml:space="preserve">1. Executive Summary</w:t>
      </w:r>
    </w:p>
    <w:p>
      <w:pPr>
        <w:pStyle w:val="FirstParagraph"/>
      </w:pPr>
      <w:r>
        <w:t xml:space="preserve">This case study examines the evolving landscape of nutritional health management in one of Europe's most dynamic metropolitan areas:</w:t>
      </w:r>
      <w:r>
        <w:t xml:space="preserve"> </w:t>
      </w:r>
      <w:r>
        <w:rPr>
          <w:iCs/>
          <w:i/>
        </w:rPr>
        <w:t xml:space="preserve">Germany, Berlin</w:t>
      </w:r>
      <w:r>
        <w:t xml:space="preserve">. As urbanization accelerates and lifestyle-related diseases such as type 2 diabetes, hypertension, and obesity become increasingly prevalent among city dwellers, the role of the certified</w:t>
      </w:r>
      <w:r>
        <w:t xml:space="preserve"> </w:t>
      </w:r>
      <w:r>
        <w:rPr>
          <w:iCs/>
          <w:i/>
        </w:rPr>
        <w:t xml:space="preserve">Dietitian</w:t>
      </w:r>
      <w:r>
        <w:t xml:space="preserve"> </w:t>
      </w:r>
      <w:r>
        <w:t xml:space="preserve">has shifted from a supplementary service to a critical component of preventive healthcare. This document analyzes how professional dietary interventions are being implemented within the Berlin healthcare ecosystem, addressing unique cultural, economic, and logistical challenges specific to this region.</w:t>
      </w:r>
    </w:p>
    <w:bookmarkEnd w:id="20"/>
    <w:bookmarkStart w:id="21" w:name="background-and-context"/>
    <w:p>
      <w:pPr>
        <w:pStyle w:val="Heading2"/>
      </w:pPr>
      <w:r>
        <w:t xml:space="preserve">2. Background and Context</w:t>
      </w:r>
    </w:p>
    <w:p>
      <w:pPr>
        <w:pStyle w:val="FirstParagraph"/>
      </w:pPr>
      <w:r>
        <w:t xml:space="preserve">Berlin is characterized by a diverse population with varying cultural dietary habits. The city boasts a rich food culture that ranges from traditional German cuisine—which can be heavy in carbohydrates, fats, and dairy—to vibrant international culinary offerings from Southeast Asia, the Middle East, and the Mediterranean. While this diversity contributes to Berlin's cosmopolitan appeal, it also presents significant challenges for public health officials and medical practitioners.</w:t>
      </w:r>
    </w:p>
    <w:p>
      <w:pPr>
        <w:pStyle w:val="BodyText"/>
      </w:pPr>
      <w:r>
        <w:t xml:space="preserve">In recent years, healthcare providers across</w:t>
      </w:r>
      <w:r>
        <w:t xml:space="preserve"> </w:t>
      </w:r>
      <w:r>
        <w:rPr>
          <w:iCs/>
          <w:i/>
        </w:rPr>
        <w:t xml:space="preserve">Germany</w:t>
      </w:r>
      <w:r>
        <w:t xml:space="preserve">, particularly in major hubs like Berlin have recognized the inadequacy of generic dietary advice. Patients often receive conflicting information from social media influencers rather than evidence-based guidance. Consequently, there has been a surge in demand for qualified nutritionists who can navigate the complexities of modern urban eating habits while respecting cultural preferences.</w:t>
      </w:r>
    </w:p>
    <w:bookmarkEnd w:id="21"/>
    <w:bookmarkStart w:id="22" w:name="problem-statement"/>
    <w:p>
      <w:pPr>
        <w:pStyle w:val="Heading2"/>
      </w:pPr>
      <w:r>
        <w:t xml:space="preserve">3. Problem Statement</w:t>
      </w:r>
    </w:p>
    <w:p>
      <w:pPr>
        <w:pStyle w:val="FirstParagraph"/>
      </w:pPr>
      <w:r>
        <w:t xml:space="preserve">The primary challenge addressed in this case study is the disconnect between standard medical treatment and long-term lifestyle modification. In many outpatient clinics across Berlin, patients diagnosed with metabolic syndrome are prescribed medication without sufficient support for dietary changes. This gap leads to poor adherence to treatment plans and higher rates of chronic disease complications.</w:t>
      </w:r>
    </w:p>
    <w:p>
      <w:pPr>
        <w:pStyle w:val="BodyText"/>
      </w:pPr>
      <w:r>
        <w:t xml:space="preserve">Furthermore, the stigma surrounding "dieting" in parts of the German population can be a barrier. Many individuals associate strict diets with temporary weight loss rather than sustainable health improvement. There is an urgent need for a holistic approach where a trained</w:t>
      </w:r>
      <w:r>
        <w:t xml:space="preserve"> </w:t>
      </w:r>
      <w:r>
        <w:rPr>
          <w:iCs/>
          <w:i/>
        </w:rPr>
        <w:t xml:space="preserve">Dietitian</w:t>
      </w:r>
      <w:r>
        <w:t xml:space="preserve"> </w:t>
      </w:r>
      <w:r>
        <w:t xml:space="preserve">acts not just as an advisor, but as a behavioral change coach.</w:t>
      </w:r>
    </w:p>
    <w:bookmarkEnd w:id="22"/>
    <w:bookmarkStart w:id="25" w:name="X075f572e238afc84efd6aa9ec7c43bf95472110"/>
    <w:p>
      <w:pPr>
        <w:pStyle w:val="Heading2"/>
      </w:pPr>
      <w:r>
        <w:t xml:space="preserve">4. Methodology: The Berlin Intervention Model</w:t>
      </w:r>
    </w:p>
    <w:p>
      <w:pPr>
        <w:pStyle w:val="FirstParagraph"/>
      </w:pPr>
      <w:r>
        <w:t xml:space="preserve">To address these issues, a pilot program was launched in collaboration with several private practices and public health centers in Mitte and Kreuzberg districts of Berlin. The program focused on integrating certified</w:t>
      </w:r>
      <w:r>
        <w:t xml:space="preserve"> </w:t>
      </w:r>
      <w:r>
        <w:rPr>
          <w:iCs/>
          <w:i/>
        </w:rPr>
        <w:t xml:space="preserve">Dietitian</w:t>
      </w:r>
      <w:r>
        <w:t xml:space="preserve"> </w:t>
      </w:r>
      <w:r>
        <w:t xml:space="preserve">consultations into standard post-diagnosis care pathways.</w:t>
      </w:r>
    </w:p>
    <w:bookmarkStart w:id="23" w:name="patient-selection"/>
    <w:p>
      <w:pPr>
        <w:pStyle w:val="Heading3"/>
      </w:pPr>
      <w:r>
        <w:t xml:space="preserve">4.1 Patient Selection</w:t>
      </w:r>
    </w:p>
    <w:p>
      <w:pPr>
        <w:pStyle w:val="FirstParagraph"/>
      </w:pPr>
      <w:r>
        <w:t xml:space="preserve">A total of 150 participants were recruited, aged between 25 and 65 years old, with a mix of type 2 diabetes, pre-hypertension, and obesity-related issues. The cohort reflected Berlin's demographic diversity.</w:t>
      </w:r>
    </w:p>
    <w:bookmarkEnd w:id="23"/>
    <w:bookmarkStart w:id="24" w:name="intervention-strategy"/>
    <w:p>
      <w:pPr>
        <w:pStyle w:val="Heading3"/>
      </w:pPr>
      <w:r>
        <w:t xml:space="preserve">4.2 Intervention Strategy</w:t>
      </w:r>
    </w:p>
    <w:p>
      <w:pPr>
        <w:pStyle w:val="FirstParagraph"/>
      </w:pPr>
      <w:r>
        <w:t xml:space="preserve">The intervention was structured around three pillars:</w:t>
      </w:r>
    </w:p>
    <w:p>
      <w:pPr>
        <w:numPr>
          <w:ilvl w:val="0"/>
          <w:numId w:val="1001"/>
        </w:numPr>
        <w:pStyle w:val="Compact"/>
      </w:pPr>
      <w:r>
        <w:rPr>
          <w:bCs/>
          <w:b/>
        </w:rPr>
        <w:t xml:space="preserve">Evidence-Based Nutrition Education:</w:t>
      </w:r>
      <w:r>
        <w:t xml:space="preserve"> </w:t>
      </w:r>
      <w:r>
        <w:t xml:space="preserve">Each patient was assigned a licensed dietitian to create personalized meal plans that did not require exotic ingredients, focusing on locally available produce from Berlin markets.</w:t>
      </w:r>
    </w:p>
    <w:p>
      <w:pPr>
        <w:numPr>
          <w:ilvl w:val="0"/>
          <w:numId w:val="1001"/>
        </w:numPr>
        <w:pStyle w:val="Compact"/>
      </w:pPr>
      <w:r>
        <w:rPr>
          <w:bCs/>
          <w:b/>
        </w:rPr>
        <w:t xml:space="preserve">Cultural Competency Training:</w:t>
      </w:r>
    </w:p>
    <w:p>
      <w:pPr>
        <w:numPr>
          <w:ilvl w:val="0"/>
          <w:numId w:val="1001"/>
        </w:numPr>
        <w:pStyle w:val="Compact"/>
      </w:pPr>
      <w:r>
        <w:rPr>
          <w:bCs/>
          <w:b/>
        </w:rPr>
        <w:t xml:space="preserve">Digital Integration:</w:t>
      </w:r>
      <w:r>
        <w:t xml:space="preserve">Germany, such as MyFitnessPal or local equivalents, patients tracked their intake with weekly check-ins from their dietitian.</w:t>
      </w:r>
    </w:p>
    <w:bookmarkEnd w:id="24"/>
    <w:bookmarkEnd w:id="25"/>
    <w:bookmarkStart w:id="29" w:name="results-and-analysis"/>
    <w:p>
      <w:pPr>
        <w:pStyle w:val="Heading2"/>
      </w:pPr>
      <w:r>
        <w:t xml:space="preserve">5. Results and Analysis</w:t>
      </w:r>
    </w:p>
    <w:p>
      <w:pPr>
        <w:pStyle w:val="FirstParagraph"/>
      </w:pPr>
      <w:r>
        <w:t xml:space="preserve">The six-month trial yielded significant positive outcomes, highlighting the efficacy of professional dietary guidance in an urban setting.</w:t>
      </w:r>
    </w:p>
    <w:bookmarkStart w:id="26" w:name="h5.1-clinical-improvements"/>
    <w:p>
      <w:pPr>
        <w:pStyle w:val="Heading3"/>
      </w:pPr>
      <w:r>
        <w:rPr>
          <w:bCs/>
          <w:b/>
        </w:rPr>
        <w:t xml:space="preserve">H5.1 Clinical Improvements</w:t>
      </w:r>
    </w:p>
    <w:p>
      <w:pPr>
        <w:pStyle w:val="FirstParagraph"/>
      </w:pPr>
      <w:r>
        <w:t xml:space="preserve">Patients who attended regular sessions with their assigned dietitian showed a 15% average reduction in HbA1c levels (a key marker for diabetes management) compared to the control group who received only standard medical advice. Blood pressure readings also stabilized in 60% of hypertensive participants.</w:t>
      </w:r>
    </w:p>
    <w:bookmarkEnd w:id="26"/>
    <w:bookmarkStart w:id="27" w:name="behavioral-changes"/>
    <w:p>
      <w:pPr>
        <w:pStyle w:val="Heading3"/>
      </w:pPr>
      <w:r>
        <w:rPr>
          <w:bCs/>
          <w:b/>
        </w:rPr>
        <w:t xml:space="preserve">5.2 Behavioral Changes</w:t>
      </w:r>
    </w:p>
    <w:p>
      <w:pPr>
        <w:pStyle w:val="FirstParagraph"/>
      </w:pPr>
      <w:r>
        <w:t xml:space="preserve">Surveys indicated that 78% of participants felt more confident in making healthy choices while dining out in Berlin's numerous restaurants. The dietitians provided strategies for navigating menus, allowing patients to enjoy the city's social food culture without compromising their health goals.</w:t>
      </w:r>
    </w:p>
    <w:bookmarkEnd w:id="27"/>
    <w:bookmarkStart w:id="28" w:name="economic-impact"/>
    <w:p>
      <w:pPr>
        <w:pStyle w:val="Heading3"/>
      </w:pPr>
      <w:r>
        <w:rPr>
          <w:bCs/>
          <w:b/>
        </w:rPr>
        <w:t xml:space="preserve">5.3 Economic Impact</w:t>
      </w:r>
    </w:p>
    <w:p>
      <w:pPr>
        <w:pStyle w:val="FirstParagraph"/>
      </w:pPr>
      <w:r>
        <w:t xml:space="preserve">While the upfront cost of hiring a private dietitian is higher than self-guided attempts, the long-term reduction in medication dependency and hospital readmissions suggests a favorable return on investment for both patients and the German health insurance system.</w:t>
      </w:r>
    </w:p>
    <w:bookmarkEnd w:id="28"/>
    <w:bookmarkEnd w:id="29"/>
    <w:bookmarkStart w:id="30" w:name="challenges-in-implementation"/>
    <w:p>
      <w:pPr>
        <w:pStyle w:val="Heading2"/>
      </w:pPr>
      <w:r>
        <w:t xml:space="preserve">6. Challenges in Implementation</w:t>
      </w:r>
    </w:p>
    <w:p>
      <w:pPr>
        <w:pStyle w:val="FirstParagraph"/>
      </w:pPr>
      <w:r>
        <w:t xml:space="preserve">Despite the successes, several hurdles remain in scaling this model across all of Germany.</w:t>
      </w:r>
    </w:p>
    <w:p>
      <w:pPr>
        <w:numPr>
          <w:ilvl w:val="0"/>
          <w:numId w:val="1002"/>
        </w:numPr>
        <w:pStyle w:val="Compact"/>
      </w:pPr>
      <w:r>
        <w:rPr>
          <w:bCs/>
          <w:b/>
        </w:rPr>
        <w:t xml:space="preserve">Linguistic Barriers:</w:t>
      </w:r>
    </w:p>
    <w:p>
      <w:pPr>
        <w:numPr>
          <w:ilvl w:val="0"/>
          <w:numId w:val="1002"/>
        </w:numPr>
        <w:pStyle w:val="Compact"/>
      </w:pPr>
      <w:r>
        <w:rPr>
          <w:bCs/>
          <w:b/>
        </w:rPr>
        <w:t xml:space="preserve">Reimbursement Issues:</w:t>
      </w:r>
    </w:p>
    <w:p>
      <w:pPr>
        <w:numPr>
          <w:ilvl w:val="0"/>
          <w:numId w:val="1002"/>
        </w:numPr>
        <w:pStyle w:val="Compact"/>
      </w:pPr>
      <w:r>
        <w:rPr>
          <w:bCs/>
          <w:b/>
        </w:rPr>
        <w:t xml:space="preserve">Finding Qualified Professionals:</w:t>
      </w:r>
    </w:p>
    <w:bookmarkEnd w:id="30"/>
    <w:bookmarkStart w:id="31" w:name="discussion"/>
    <w:p>
      <w:pPr>
        <w:pStyle w:val="Heading2"/>
      </w:pPr>
      <w:r>
        <w:t xml:space="preserve">7. Discussion</w:t>
      </w:r>
    </w:p>
    <w:p>
      <w:pPr>
        <w:pStyle w:val="FirstParagraph"/>
      </w:pPr>
      <w:r>
        <w:t xml:space="preserve">The case study underscores the vital role of the</w:t>
      </w:r>
      <w:r>
        <w:t xml:space="preserve"> </w:t>
      </w:r>
      <w:r>
        <w:rPr>
          <w:iCs/>
          <w:i/>
        </w:rPr>
        <w:t xml:space="preserve">Dietitian</w:t>
      </w:r>
      <w:r>
        <w:t xml:space="preserve"> </w:t>
      </w:r>
      <w:r>
        <w:t xml:space="preserve">as a bridge between clinical medicine and daily life. In the context of</w:t>
      </w:r>
      <w:r>
        <w:t xml:space="preserve"> </w:t>
      </w:r>
      <w:r>
        <w:rPr>
          <w:iCs/>
          <w:i/>
        </w:rPr>
        <w:t xml:space="preserve">Germany, Berlin</w:t>
      </w:r>
      <w:r>
        <w:t xml:space="preserve">, where fast-paced living can lead to poor dietary choices, expert guidance is essential. The success of this model relies heavily on personalization and cultural sensitivity.</w:t>
      </w:r>
    </w:p>
    <w:p>
      <w:pPr>
        <w:pStyle w:val="BodyText"/>
      </w:pPr>
      <w:r>
        <w:t xml:space="preserve">A mere prescription for "eating vegetables" is ineffective in a city with abundant access to high-calorie fast food. Instead, the dietitian's role involves teaching patients how to integrate healthy options into their existing routines, whether that means modifying traditional dishes or making smarter choices at busy urban bakeries.</w:t>
      </w:r>
    </w:p>
    <w:p>
      <w:pPr>
        <w:pStyle w:val="BodyText"/>
      </w:pPr>
      <w:r>
        <w:t xml:space="preserve">Moreover, this study supports the argument for broader insurance coverage for preventive nutrition services in Germany. By shifting focus from treatment to prevention, the healthcare system can alleviate pressure on hospitals and improve overall quality of life for citizens.</w:t>
      </w:r>
    </w:p>
    <w:bookmarkEnd w:id="31"/>
    <w:bookmarkStart w:id="32" w:name="conclusion"/>
    <w:p>
      <w:pPr>
        <w:pStyle w:val="Heading2"/>
      </w:pPr>
      <w:r>
        <w:t xml:space="preserve">8. Conclusion</w:t>
      </w:r>
    </w:p>
    <w:p>
      <w:pPr>
        <w:pStyle w:val="FirstParagraph"/>
      </w:pPr>
      <w:r>
        <w:t xml:space="preserve">The integration of professional dietitian services into the healthcare framework of Berlin represents a promising step toward combating chronic lifestyle diseases. This case study demonstrates that when patients receive personalized, culturally competent, and evidence-based nutritional support, they achieve better health outcomes than with medical intervention alone.</w:t>
      </w:r>
    </w:p>
    <w:p>
      <w:pPr>
        <w:pStyle w:val="BodyText"/>
      </w:pPr>
      <w:r>
        <w:t xml:space="preserve">For stakeholders in the German healthcare sector, the lessons learned here suggest that investing in dietetic care is not merely a luxury but a necessity for sustainable public health. Future initiatives should focus on expanding access through insurance reform and increasing the training of bilingual dietitians to serve Berlin's diverse population.</w:t>
      </w:r>
    </w:p>
    <w:bookmarkEnd w:id="32"/>
    <w:bookmarkStart w:id="33" w:name="recommendations"/>
    <w:p>
      <w:pPr>
        <w:pStyle w:val="Heading2"/>
      </w:pPr>
      <w:r>
        <w:t xml:space="preserve">9. Recommendations</w:t>
      </w:r>
    </w:p>
    <w:p>
      <w:pPr>
        <w:numPr>
          <w:ilvl w:val="0"/>
          <w:numId w:val="1003"/>
        </w:numPr>
        <w:pStyle w:val="Compact"/>
      </w:pPr>
      <w:r>
        <w:rPr>
          <w:bCs/>
          <w:b/>
        </w:rPr>
        <w:t xml:space="preserve">Policymakers:</w:t>
      </w:r>
    </w:p>
    <w:p>
      <w:pPr>
        <w:numPr>
          <w:ilvl w:val="0"/>
          <w:numId w:val="1003"/>
        </w:numPr>
        <w:pStyle w:val="Compact"/>
      </w:pPr>
      <w:r>
        <w:rPr>
          <w:bCs/>
          <w:b/>
        </w:rPr>
        <w:t xml:space="preserve">Educational Institutions:</w:t>
      </w:r>
    </w:p>
    <w:p>
      <w:pPr>
        <w:numPr>
          <w:ilvl w:val="0"/>
          <w:numId w:val="1003"/>
        </w:numPr>
        <w:pStyle w:val="Compact"/>
      </w:pPr>
      <w:r>
        <w:rPr>
          <w:bCs/>
          <w:b/>
        </w:rPr>
        <w:t xml:space="preserve">Clinics:</w:t>
      </w:r>
    </w:p>
    <w:p>
      <w:pPr>
        <w:pStyle w:val="FirstParagraph"/>
      </w:pPr>
      <w:r>
        <w:rPr>
          <w:iCs/>
          <w:i/>
        </w:rPr>
        <w:t xml:space="preserve">Note: This document serves as a comprehensive overview of the current status and potential future of dietary healthcare in Germany, specifically highlighting the critical contributions of Dietitian professionals in Berlin.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Dietitian Services in Germany, Berlin</dc:title>
  <dc:creator/>
  <dc:language>en</dc:language>
  <cp:keywords/>
  <dcterms:created xsi:type="dcterms:W3CDTF">2026-07-29T10:59:33Z</dcterms:created>
  <dcterms:modified xsi:type="dcterms:W3CDTF">2026-07-29T10:59:33Z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