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Integrative</w:t>
      </w:r>
      <w:r>
        <w:t xml:space="preserve"> </w:t>
      </w:r>
      <w:r>
        <w:t xml:space="preserve">Nutritional</w:t>
      </w:r>
      <w:r>
        <w:t xml:space="preserve"> </w:t>
      </w:r>
      <w:r>
        <w:t xml:space="preserve">Therapy</w:t>
      </w:r>
      <w:r>
        <w:t xml:space="preserve"> </w:t>
      </w:r>
      <w:r>
        <w:t xml:space="preserve">in</w:t>
      </w:r>
      <w:r>
        <w:t xml:space="preserve"> </w:t>
      </w:r>
      <w:r>
        <w:t xml:space="preserve">Malaysia</w:t>
      </w:r>
      <w:r>
        <w:t xml:space="preserve"> </w:t>
      </w:r>
      <w:r>
        <w:t xml:space="preserve">Kuala</w:t>
      </w:r>
      <w:r>
        <w:t xml:space="preserve"> </w:t>
      </w:r>
      <w:r>
        <w:t xml:space="preserve">Lumpur</w:t>
      </w:r>
    </w:p>
    <w:bookmarkStart w:id="33" w:name="X958034cbad9c910e8a5e8ba7e44a9e14e202f07"/>
    <w:p>
      <w:pPr>
        <w:pStyle w:val="Heading1"/>
      </w:pPr>
      <w:r>
        <w:t xml:space="preserve">A Strategic Case Study on the Role of a Dietitian in Managing Non-Communicable Diseases: A Focus on Malaysia Kuala Lumpur</w:t>
      </w:r>
    </w:p>
    <w:bookmarkStart w:id="20" w:name="executive-summary"/>
    <w:p>
      <w:pPr>
        <w:pStyle w:val="Heading2"/>
      </w:pPr>
      <w:r>
        <w:t xml:space="preserve">Executive Summary</w:t>
      </w:r>
    </w:p>
    <w:p>
      <w:pPr>
        <w:pStyle w:val="FirstParagraph"/>
      </w:pPr>
      <w:r>
        <w:t xml:space="preserve">This document presents a comprehensive case study examining the critical role of a qualified</w:t>
      </w:r>
      <w:r>
        <w:t xml:space="preserve"> </w:t>
      </w:r>
      <w:r>
        <w:rPr>
          <w:bCs/>
          <w:b/>
        </w:rPr>
        <w:t xml:space="preserve">Dietitian</w:t>
      </w:r>
      <w:r>
        <w:t xml:space="preserve"> </w:t>
      </w:r>
      <w:r>
        <w:t xml:space="preserve">in the management of lifestyle-related chronic diseases within the urban landscape of Malaysia Kuala Lumpur. As one of Asia’s fastest-growing metropolises, Malaysia Kuala Lumpur presents a unique epidemiological challenge characterized by rapid urbanization, sedentary occupational habits, and a complex culinary heritage rich in carbohydrates and fats. This study highlights how professional nutritional intervention serves as a cornerstone for public health improvement in this specific geographic context.</w:t>
      </w:r>
    </w:p>
    <w:bookmarkEnd w:id="20"/>
    <w:bookmarkStart w:id="21" w:name="X9ca92e5b49ba20e43c5f3fb9b9b1ed5d251cd0c"/>
    <w:p>
      <w:pPr>
        <w:pStyle w:val="Heading2"/>
      </w:pPr>
      <w:r>
        <w:t xml:space="preserve">Background: The Healthcare Context of Malaysia Kuala Lumpur</w:t>
      </w:r>
    </w:p>
    <w:p>
      <w:pPr>
        <w:pStyle w:val="FirstParagraph"/>
      </w:pPr>
      <w:r>
        <w:t xml:space="preserve">Malaysia Kuala Lumpur stands at the forefront of economic development in Southeast Asia, yet this progress has been accompanied by a significant shift in public health metrics. According to recent data from the Ministry of Health Malaysia, non-communicable diseases (NCDs) such as diabetes mellitus type 2, hypertension, and obesity have reached epidemic proportions. In Malaysia Kuala Lumpur specifically, the density of fast-food outlets combined with high-stress corporate environments has created a perfect storm for metabolic syndrome.</w:t>
      </w:r>
    </w:p>
    <w:p>
      <w:pPr>
        <w:pStyle w:val="BodyText"/>
      </w:pPr>
      <w:r>
        <w:t xml:space="preserve">Traditionally, health advice in the region was often generalized or sourced from unregulated wellness influencers. However, the rising burden on both private and public healthcare systems has underscored the urgent need for evidence-based medical nutrition therapy. This shift necessitates a deeper integration of a certified</w:t>
      </w:r>
      <w:r>
        <w:t xml:space="preserve"> </w:t>
      </w:r>
      <w:r>
        <w:rPr>
          <w:bCs/>
          <w:b/>
        </w:rPr>
        <w:t xml:space="preserve">Dietitian</w:t>
      </w:r>
      <w:r>
        <w:t xml:space="preserve"> </w:t>
      </w:r>
      <w:r>
        <w:t xml:space="preserve">into standard clinical workflows to address these localized health challenges effectively.</w:t>
      </w:r>
    </w:p>
    <w:bookmarkEnd w:id="21"/>
    <w:bookmarkStart w:id="24" w:name="clinical-case-profile-ahmad"/>
    <w:p>
      <w:pPr>
        <w:pStyle w:val="Heading2"/>
      </w:pPr>
      <w:r>
        <w:t xml:space="preserve">Clinical Case Profile: "Ahmad"</w:t>
      </w:r>
    </w:p>
    <w:p>
      <w:pPr>
        <w:pStyle w:val="FirstParagraph"/>
      </w:pPr>
      <w:r>
        <w:t xml:space="preserve">To illustrate the practical application of dietary counseling in this region, we examine the case of "Ahmad," a 45-year-old male corporate executive residing in the Mont Kiara district of Malaysia Kuala Lumpur.</w:t>
      </w:r>
    </w:p>
    <w:bookmarkStart w:id="22" w:name="patient-profile"/>
    <w:p>
      <w:pPr>
        <w:pStyle w:val="Heading3"/>
      </w:pPr>
      <w:r>
        <w:t xml:space="preserve">Patient Profile</w:t>
      </w:r>
    </w:p>
    <w:p>
      <w:pPr>
        <w:numPr>
          <w:ilvl w:val="0"/>
          <w:numId w:val="1001"/>
        </w:numPr>
        <w:pStyle w:val="Compact"/>
      </w:pPr>
      <w:r>
        <w:rPr>
          <w:bCs/>
          <w:b/>
        </w:rPr>
        <w:t xml:space="preserve">Demographics:</w:t>
      </w:r>
      <w:r>
        <w:t xml:space="preserve"> </w:t>
      </w:r>
      <w:r>
        <w:t xml:space="preserve">Male, 45 years old, employed in finance.</w:t>
      </w:r>
    </w:p>
    <w:p>
      <w:pPr>
        <w:numPr>
          <w:ilvl w:val="0"/>
          <w:numId w:val="1001"/>
        </w:numPr>
        <w:pStyle w:val="Compact"/>
      </w:pPr>
      <w:r>
        <w:rPr>
          <w:bCs/>
          <w:b/>
        </w:rPr>
        <w:t xml:space="preserve">Lifestyle:</w:t>
      </w:r>
      <w:r>
        <w:t xml:space="preserve"> </w:t>
      </w:r>
      <w:r>
        <w:t xml:space="preserve">Sedentary office job with frequent business dinners. Relies heavily on delivery apps for lunch due to time constraints.</w:t>
      </w:r>
    </w:p>
    <w:p>
      <w:pPr>
        <w:numPr>
          <w:ilvl w:val="0"/>
          <w:numId w:val="1001"/>
        </w:numPr>
        <w:pStyle w:val="Compact"/>
      </w:pPr>
      <w:r>
        <w:rPr>
          <w:bCs/>
          <w:b/>
        </w:rPr>
        <w:t xml:space="preserve">Cultural Context:</w:t>
      </w:r>
      <w:r>
        <w:t xml:space="preserve"> </w:t>
      </w:r>
      <w:r>
        <w:t xml:space="preserve">Consumes traditional local dishes such as Nasi Lemak, Roti Canai, and Teh Tarik daily. High participation in social gatherings involving buffet-style meals.</w:t>
      </w:r>
    </w:p>
    <w:p>
      <w:pPr>
        <w:numPr>
          <w:ilvl w:val="0"/>
          <w:numId w:val="1001"/>
        </w:numPr>
        <w:pStyle w:val="Compact"/>
      </w:pPr>
      <w:r>
        <w:rPr>
          <w:bCs/>
          <w:b/>
        </w:rPr>
        <w:t xml:space="preserve">Clinical Presentation:</w:t>
      </w:r>
      <w:r>
        <w:t xml:space="preserve"> </w:t>
      </w:r>
      <w:r>
        <w:t xml:space="preserve">BMI of 32 kg/m² (Obese Class I), HbA1c level of 7.8% (indicative of pre-diabetes progressing to type 2 diabetes), and elevated LDL cholesterol.</w:t>
      </w:r>
    </w:p>
    <w:bookmarkEnd w:id="22"/>
    <w:bookmarkStart w:id="23" w:name="the-intervention-by-the-dietitian"/>
    <w:p>
      <w:pPr>
        <w:pStyle w:val="Heading3"/>
      </w:pPr>
      <w:r>
        <w:t xml:space="preserve">The Intervention by the Dietitian</w:t>
      </w:r>
    </w:p>
    <w:p>
      <w:pPr>
        <w:pStyle w:val="FirstParagraph"/>
      </w:pPr>
      <w:r>
        <w:t xml:space="preserve">Ahmad was referred to a registered</w:t>
      </w:r>
      <w:r>
        <w:t xml:space="preserve"> </w:t>
      </w:r>
      <w:r>
        <w:rPr>
          <w:bCs/>
          <w:b/>
        </w:rPr>
        <w:t xml:space="preserve">Dietitian</w:t>
      </w:r>
      <w:r>
        <w:t xml:space="preserve"> </w:t>
      </w:r>
      <w:r>
        <w:t xml:space="preserve">at a private wellness clinic in central Malaysia Kuala Lumpur. The intervention was not merely about calorie restriction but focused on cultural adaptation and behavioral modification.</w:t>
      </w:r>
    </w:p>
    <w:p>
      <w:pPr>
        <w:numPr>
          <w:ilvl w:val="0"/>
          <w:numId w:val="1002"/>
        </w:numPr>
        <w:pStyle w:val="Compact"/>
      </w:pPr>
      <w:r>
        <w:rPr>
          <w:bCs/>
          <w:b/>
        </w:rPr>
        <w:t xml:space="preserve">Nutritional Assessment:</w:t>
      </w:r>
      <w:r>
        <w:t xml:space="preserve"> </w:t>
      </w:r>
      <w:r>
        <w:t xml:space="preserve">The dietitian conducted a detailed food frequency questionnaire, identifying that Ahmad’s primary issue was portion control and the glycemic load of his carbohydrate sources rather than total fat intake alone.</w:t>
      </w:r>
    </w:p>
    <w:p>
      <w:pPr>
        <w:numPr>
          <w:ilvl w:val="0"/>
          <w:numId w:val="1002"/>
        </w:numPr>
        <w:pStyle w:val="Compact"/>
      </w:pPr>
      <w:r>
        <w:rPr>
          <w:bCs/>
          <w:b/>
        </w:rPr>
        <w:t xml:space="preserve">Cultural Competence:</w:t>
      </w:r>
      <w:r>
        <w:t xml:space="preserve"> </w:t>
      </w:r>
      <w:r>
        <w:t xml:space="preserve">Recognizing the food-centric social culture of Malaysia Kuala Lumpur, the dietitian did not recommend eliminating local cuisine. Instead, she taught "plate composition" techniques—reducing rice portions to half and increasing fiber-rich vegetables (such as kangkung and sawi) while choosing steamed fish over fried options in Malay cuisine.</w:t>
      </w:r>
    </w:p>
    <w:p>
      <w:pPr>
        <w:numPr>
          <w:ilvl w:val="0"/>
          <w:numId w:val="1002"/>
        </w:numPr>
        <w:pStyle w:val="Compact"/>
      </w:pPr>
      <w:r>
        <w:rPr>
          <w:bCs/>
          <w:b/>
        </w:rPr>
        <w:t xml:space="preserve">Practical Substitutions:</w:t>
      </w:r>
      <w:r>
        <w:t xml:space="preserve"> </w:t>
      </w:r>
      <w:r>
        <w:t xml:space="preserve">The dietitian introduced healthier alternatives common in the Kuala Lumpur market, such as swapping Teh Tarik for unsweetened green tea or reducing sugar levels by one step ("kurang manis") when ordering from local kopitiams and chain cafes.</w:t>
      </w:r>
    </w:p>
    <w:bookmarkEnd w:id="23"/>
    <w:bookmarkEnd w:id="24"/>
    <w:bookmarkStart w:id="27" w:name="X6b5cdb1fcf84003aa3fce18db6e63119793202d"/>
    <w:p>
      <w:pPr>
        <w:pStyle w:val="Heading2"/>
      </w:pPr>
      <w:r>
        <w:t xml:space="preserve">The Role of the Dietitian in Malaysia Kuala Lumpur’s Healthcare Ecosystem</w:t>
      </w:r>
    </w:p>
    <w:p>
      <w:pPr>
        <w:pStyle w:val="FirstParagraph"/>
      </w:pPr>
      <w:r>
        <w:t xml:space="preserve">Ahmad’s case exemplifies why the specialized role of a</w:t>
      </w:r>
      <w:r>
        <w:t xml:space="preserve"> </w:t>
      </w:r>
      <w:r>
        <w:rPr>
          <w:bCs/>
          <w:b/>
        </w:rPr>
        <w:t xml:space="preserve">Dietitian</w:t>
      </w:r>
      <w:r>
        <w:t xml:space="preserve"> </w:t>
      </w:r>
      <w:r>
        <w:t xml:space="preserve">is indispensable in Malaysia Kuala Lumpur. Unlike general health coaches, a dietitian provides medical nutrition therapy grounded in biochemistry and physiology.</w:t>
      </w:r>
    </w:p>
    <w:bookmarkStart w:id="25" w:name="X86815ca567d75532768ae40b6442e13e0453ca2"/>
    <w:p>
      <w:pPr>
        <w:pStyle w:val="Heading3"/>
      </w:pPr>
      <w:r>
        <w:t xml:space="preserve">Bridging Cultural Traditions and Modern Science</w:t>
      </w:r>
    </w:p>
    <w:p>
      <w:pPr>
        <w:pStyle w:val="FirstParagraph"/>
      </w:pPr>
      <w:r>
        <w:t xml:space="preserve">In Malaysia Kuala Lumpur, food is deeply intertwined with culture and religion. A generic Western diet plan often fails because it ignores the dietary laws (Halal) and the staple nature of rice in local meals. The dietitian acts as a bridge, translating scientific nutritional requirements into culturally acceptable meal plans that respect the culinary identity of Malaysians.</w:t>
      </w:r>
    </w:p>
    <w:bookmarkEnd w:id="25"/>
    <w:bookmarkStart w:id="26" w:name="navigating-the-food-environment"/>
    <w:p>
      <w:pPr>
        <w:pStyle w:val="Heading3"/>
      </w:pPr>
      <w:r>
        <w:t xml:space="preserve">Navigating the Food Environment</w:t>
      </w:r>
    </w:p>
    <w:p>
      <w:pPr>
        <w:pStyle w:val="FirstParagraph"/>
      </w:pPr>
      <w:r>
        <w:t xml:space="preserve">Malaysia Kuala Lumpur is known as a "food paradise," which presents significant challenges for weight management. The dietitian provides patients with strategies to navigate hawker centers, malls, and office cafeterias. This includes reading nutrition labels on locally packaged goods, understanding hidden sugars in sauces like sambal and kicap (soy sauce), and making informed choices despite the abundance of tempting options.</w:t>
      </w:r>
    </w:p>
    <w:bookmarkEnd w:id="26"/>
    <w:bookmarkEnd w:id="27"/>
    <w:bookmarkStart w:id="28" w:name="outcomes-and-impact-analysis"/>
    <w:p>
      <w:pPr>
        <w:pStyle w:val="Heading2"/>
      </w:pPr>
      <w:r>
        <w:t xml:space="preserve">Outcomes and Impact Analysis</w:t>
      </w:r>
    </w:p>
    <w:p>
      <w:pPr>
        <w:pStyle w:val="FirstParagraph"/>
      </w:pPr>
      <w:r>
        <w:t xml:space="preserve">After a six-month intervention period led by the dietitian, Ahmad’s health metrics showed significant improvement:</w:t>
      </w:r>
    </w:p>
    <w:p>
      <w:pPr>
        <w:pStyle w:val="BodyText"/>
      </w:pPr>
      <w:r>
        <w:t xml:space="preserve">Metric</w:t>
      </w:r>
    </w:p>
    <w:bookmarkEnd w:id="28"/>
    <w:p>
      <w:pPr>
        <w:pStyle w:val="BodyText"/>
      </w:pPr>
      <w:r>
        <w:t xml:space="preserve">Baseline</w:t>
      </w:r>
    </w:p>
    <w:p>
      <w:pPr>
        <w:pStyle w:val="BodyText"/>
      </w:pPr>
      <w:r>
        <w:t xml:space="preserve">Post-Intervention (6 Months)</w:t>
      </w:r>
    </w:p>
    <w:p>
      <w:pPr>
        <w:pStyle w:val="BodyText"/>
      </w:pPr>
      <w:r>
        <w:t xml:space="preserve">BMI</w:t>
      </w:r>
    </w:p>
    <w:p>
      <w:pPr>
        <w:pStyle w:val="BodyText"/>
      </w:pPr>
      <w:r>
        <w:t xml:space="preserve">32.0 kg/m²</w:t>
      </w:r>
    </w:p>
    <w:p>
      <w:pPr>
        <w:pStyle w:val="BodyText"/>
      </w:pPr>
      <w:r>
        <w:t xml:space="preserve">29.5 kg/m²</w:t>
      </w:r>
    </w:p>
    <w:p>
      <w:pPr>
        <w:pStyle w:val="BodyText"/>
      </w:pPr>
      <w:r>
        <w:t xml:space="preserve">HbA1c</w:t>
      </w:r>
    </w:p>
    <w:p>
      <w:pPr>
        <w:pStyle w:val="BodyText"/>
      </w:pPr>
      <w:r>
        <w:t xml:space="preserve">7.8%</w:t>
      </w:r>
    </w:p>
    <w:p>
      <w:pPr>
        <w:pStyle w:val="BodyText"/>
      </w:pPr>
      <w:r>
        <w:t xml:space="preserve">Metric</w:t>
      </w:r>
    </w:p>
    <w:p>
      <w:pPr>
        <w:pStyle w:val="BodyText"/>
      </w:pPr>
      <w:r>
        <w:t xml:space="preserve">Baseline</w:t>
      </w:r>
    </w:p>
    <w:p>
      <w:pPr>
        <w:pStyle w:val="BodyText"/>
      </w:pPr>
      <w:r>
        <w:t xml:space="preserve">P ost-Intervention (6 Months )&lt; /th &gt;&lt; /tr &gt;&lt; tr &gt;&lt; td&gt; BMI&lt; /t d&gt;&lt; td&gt;32 .0kg/m²&lt; /t d&gt;&lt; td&gt;29.5 kg/m²</w:t>
      </w:r>
    </w:p>
    <w:p>
      <w:pPr>
        <w:pStyle w:val="BodyText"/>
      </w:pPr>
      <w:r>
        <w:t xml:space="preserve">Metric</w:t>
      </w:r>
    </w:p>
    <w:p>
      <w:pPr>
        <w:pStyle w:val="BodyText"/>
      </w:pPr>
      <w:r>
        <w:t xml:space="preserve">Baseline</w:t>
      </w:r>
    </w:p>
    <w:p>
      <w:pPr>
        <w:pStyle w:val="BodyText"/>
      </w:pPr>
      <w:r>
        <w:t xml:space="preserve">Metric</w:t>
      </w:r>
    </w:p>
    <w:p>
      <w:pPr>
        <w:pStyle w:val="BodyText"/>
      </w:pPr>
      <w:r>
        <w:t xml:space="preserve">Baseline</w:t>
      </w:r>
    </w:p>
    <w:p>
      <w:pPr>
        <w:pStyle w:val="BodyText"/>
      </w:pPr>
      <w:r>
        <w:t xml:space="preserve">P ost-Intervention (6 Months )&lt; /t d &gt;&lt; /t r &gt;&lt; tr &gt;&lt; td&gt; BMI&lt; /td &gt;&lt; td&gt;32 .0kg/m²</w:t>
      </w:r>
    </w:p>
    <w:p>
      <w:pPr>
        <w:pStyle w:val="BodyText"/>
      </w:pPr>
      <w:r>
        <w:t xml:space="preserve">Metric</w:t>
      </w:r>
    </w:p>
    <w:p>
      <w:pPr>
        <w:pStyle w:val="BodyText"/>
      </w:pPr>
      <w:r>
        <w:t xml:space="preserve">Baseline</w:t>
      </w:r>
    </w:p>
    <w:p>
      <w:pPr>
        <w:pStyle w:val="BodyText"/>
      </w:pPr>
      <w:r>
        <w:t xml:space="preserve">P ost-Intervention (6 Months )&lt; /t d &gt;</w:t>
      </w:r>
    </w:p>
    <w:p>
      <w:pPr>
        <w:pStyle w:val="BodyText"/>
      </w:pPr>
      <w:r>
        <w:t xml:space="preserve">BMI</w:t>
      </w:r>
    </w:p>
    <w:p>
      <w:pPr>
        <w:pStyle w:val="BodyText"/>
      </w:pPr>
      <w:r>
        <w:t xml:space="preserve">Metric</w:t>
      </w:r>
    </w:p>
    <w:p>
      <w:pPr>
        <w:pStyle w:val="BodyText"/>
      </w:pPr>
      <w:r>
        <w:t xml:space="preserve">Baseline</w:t>
      </w:r>
    </w:p>
    <w:p>
      <w:pPr>
        <w:pStyle w:val="BodyText"/>
      </w:pPr>
      <w:r>
        <w:t xml:space="preserve">P ost-Intervention (6 Months )&lt; /t d &gt;&lt; td&gt;32 .0kg/m²&lt; /t d &gt;&lt; td&gt;29.5 kg/m²</w:t>
      </w:r>
    </w:p>
    <w:p>
      <w:pPr>
        <w:pStyle w:val="BodyText"/>
      </w:pPr>
      <w:r>
        <w:t xml:space="preserve">HbA1c</w:t>
      </w:r>
    </w:p>
    <w:p>
      <w:pPr>
        <w:pStyle w:val="BodyText"/>
      </w:pPr>
      <w:r>
        <w:t xml:space="preserve">Metric</w:t>
      </w:r>
    </w:p>
    <w:p>
      <w:pPr>
        <w:pStyle w:val="BodyText"/>
      </w:pPr>
      <w:r>
        <w:t xml:space="preserve">Baseline</w:t>
      </w:r>
    </w:p>
    <w:p>
      <w:pPr>
        <w:pStyle w:val="BodyText"/>
      </w:pPr>
      <w:r>
        <w:t xml:space="preserve">P ost-Intervention (6 Months )&lt; /t d &gt;&lt; td&gt;7 .8%</w:t>
      </w:r>
    </w:p>
    <w:p>
      <w:pPr>
        <w:pStyle w:val="BodyText"/>
      </w:pPr>
      <w:r>
        <w:t xml:space="preserve">Metric</w:t>
      </w:r>
    </w:p>
    <w:p>
      <w:pPr>
        <w:pStyle w:val="BodyText"/>
      </w:pPr>
      <w:r>
        <w:t xml:space="preserve">Baseline</w:t>
      </w:r>
    </w:p>
    <w:p>
      <w:pPr>
        <w:pStyle w:val="BodyText"/>
      </w:pPr>
      <w:r>
        <w:t xml:space="preserve">P ost-Intervention (6 Months )&lt; /t d &gt;&lt; td&gt;6.2%</w:t>
      </w:r>
    </w:p>
    <w:p>
      <w:pPr>
        <w:pStyle w:val="BodyText"/>
      </w:pPr>
      <w:r>
        <w:t xml:space="preserve">Systolic BP</w:t>
      </w:r>
    </w:p>
    <w:p>
      <w:pPr>
        <w:pStyle w:val="BodyText"/>
      </w:pPr>
      <w:r>
        <w:t xml:space="preserve">Metric</w:t>
      </w:r>
    </w:p>
    <w:p>
      <w:pPr>
        <w:pStyle w:val="BodyText"/>
      </w:pPr>
      <w:r>
        <w:t xml:space="preserve">Baseline</w:t>
      </w:r>
    </w:p>
    <w:p>
      <w:pPr>
        <w:pStyle w:val="BodyText"/>
      </w:pPr>
      <w:r>
        <w:t xml:space="preserve">P ost-Intervention (6 Months )&lt; /t d &gt;&lt; td&gt;145 mmHg</w:t>
      </w:r>
    </w:p>
    <w:p>
      <w:pPr>
        <w:pStyle w:val="BodyText"/>
      </w:pPr>
      <w:r>
        <w:t xml:space="preserve">Metric</w:t>
      </w:r>
    </w:p>
    <w:p>
      <w:pPr>
        <w:pStyle w:val="BodyText"/>
      </w:pPr>
      <w:r>
        <w:t xml:space="preserve">Baseline</w:t>
      </w:r>
    </w:p>
    <w:p>
      <w:pPr>
        <w:pStyle w:val="BodyText"/>
      </w:pPr>
      <w:r>
        <w:t xml:space="preserve">P ost-Intervention (6 Months )&lt; /t d &gt;&lt; td&gt;128 mmHg</w:t>
      </w:r>
    </w:p>
    <w:p>
      <w:pPr>
        <w:pStyle w:val="BodyText"/>
      </w:pPr>
      <w:r>
        <w:t xml:space="preserve">Lifestyle Adherence</w:t>
      </w:r>
    </w:p>
    <w:p>
      <w:pPr>
        <w:pStyle w:val="BodyText"/>
      </w:pPr>
      <w:r>
        <w:t xml:space="preserve">Metric</w:t>
      </w:r>
    </w:p>
    <w:p>
      <w:pPr>
        <w:pStyle w:val="BodyText"/>
      </w:pPr>
      <w:r>
        <w:t xml:space="preserve">Baseline</w:t>
      </w:r>
    </w:p>
    <w:p>
      <w:pPr>
        <w:pStyle w:val="BodyText"/>
      </w:pPr>
      <w:r>
        <w:t xml:space="preserve">P ost-Intervention (6 Months )&lt; /t d &gt;&lt; td&gt;Low</w:t>
      </w:r>
    </w:p>
    <w:p>
      <w:pPr>
        <w:pStyle w:val="BodyText"/>
      </w:pPr>
      <w:r>
        <w:t xml:space="preserve">Metric</w:t>
      </w:r>
    </w:p>
    <w:p>
      <w:pPr>
        <w:pStyle w:val="BodyText"/>
      </w:pPr>
      <w:r>
        <w:t xml:space="preserve">Baseline</w:t>
      </w:r>
    </w:p>
    <w:p>
      <w:pPr>
        <w:pStyle w:val="BodyText"/>
      </w:pPr>
      <w:r>
        <w:t xml:space="preserve">P ost-Intervention (6 Months )&lt; /t d &gt;&lt; td&gt;High</w:t>
      </w:r>
    </w:p>
    <w:bookmarkStart w:id="31" w:name="Xc36a1a8c33fb038d3348a624f184d27a6a3bc4a"/>
    <w:p>
      <w:pPr>
        <w:pStyle w:val="Heading2"/>
      </w:pPr>
      <w:r>
        <w:t xml:space="preserve">Discussion: The Future of Dietetics in Malaysia Kuala Lumpur</w:t>
      </w:r>
    </w:p>
    <w:p>
      <w:pPr>
        <w:pStyle w:val="FirstParagraph"/>
      </w:pPr>
      <w:r>
        <w:t xml:space="preserve">The success of Ahmad’s case study underscores a broader trend in Malaysia Kuala Lumpur. As healthcare costs rise, there is a growing emphasis on preventive care. The role of the</w:t>
      </w:r>
      <w:r>
        <w:t xml:space="preserve"> </w:t>
      </w:r>
      <w:r>
        <w:rPr>
          <w:bCs/>
          <w:b/>
        </w:rPr>
        <w:t xml:space="preserve">Dietitian</w:t>
      </w:r>
      <w:r>
        <w:t xml:space="preserve"> </w:t>
      </w:r>
      <w:r>
        <w:t xml:space="preserve">is evolving from a supportive adjunct to a primary caregiver in chronic disease management.</w:t>
      </w:r>
    </w:p>
    <w:bookmarkStart w:id="29" w:name="economic-implications"/>
    <w:p>
      <w:pPr>
        <w:pStyle w:val="Heading3"/>
      </w:pPr>
      <w:r>
        <w:t xml:space="preserve">Economic Implications</w:t>
      </w:r>
    </w:p>
    <w:p>
      <w:pPr>
        <w:pStyle w:val="FirstParagraph"/>
      </w:pPr>
      <w:r>
        <w:t xml:space="preserve">In Malaysia Kuala Lumpur, where healthcare expenditure is heavily skewed toward treating NCD complications (such as dialysis for kidney failure or amputations for diabetes), the upfront cost of dietitian consultations is offset by long-term savings. Investing in nutritional education reduces hospital readmissions and improves workforce productivity.</w:t>
      </w:r>
    </w:p>
    <w:bookmarkEnd w:id="29"/>
    <w:bookmarkStart w:id="30" w:name="digital-health-integration"/>
    <w:p>
      <w:pPr>
        <w:pStyle w:val="Heading3"/>
      </w:pPr>
      <w:r>
        <w:t xml:space="preserve">Digital Health Integration</w:t>
      </w:r>
    </w:p>
    <w:p>
      <w:pPr>
        <w:pStyle w:val="FirstParagraph"/>
      </w:pPr>
      <w:r>
        <w:t xml:space="preserve">Furthermore, Malaysia Kuala Lumpur is a hub for digital health startups. Dietitians are increasingly utilizing tele-nutrition platforms to reach clients across the Klang Valley. This accessibility ensures that even those in busy corporate sectors can maintain regular contact with their dietitian, fostering accountability and continuous support.</w:t>
      </w:r>
    </w:p>
    <w:bookmarkEnd w:id="30"/>
    <w:bookmarkEnd w:id="31"/>
    <w:bookmarkStart w:id="32" w:name="conclusion"/>
    <w:p>
      <w:pPr>
        <w:pStyle w:val="Heading2"/>
      </w:pPr>
      <w:r>
        <w:t xml:space="preserve">Conclusion</w:t>
      </w:r>
    </w:p>
    <w:p>
      <w:pPr>
        <w:pStyle w:val="FirstParagraph"/>
      </w:pPr>
      <w:r>
        <w:t xml:space="preserve">This case study demonstrates that addressing the complex health challenges of Malaysia Kuala Lumpur requires more than just medical prescription; it demands personalized, culturally sensitive nutritional guidance. The professional intervention of a</w:t>
      </w:r>
      <w:r>
        <w:t xml:space="preserve"> </w:t>
      </w:r>
      <w:r>
        <w:rPr>
          <w:bCs/>
          <w:b/>
        </w:rPr>
        <w:t xml:space="preserve">Dietitian</w:t>
      </w:r>
      <w:r>
        <w:t xml:space="preserve"> </w:t>
      </w:r>
      <w:r>
        <w:t xml:space="preserve">is vital in navigating the intersection of tradition and modernity within the Malaysian dietary landscape.</w:t>
      </w:r>
    </w:p>
    <w:p>
      <w:pPr>
        <w:pStyle w:val="BodyText"/>
      </w:pPr>
      <w:r>
        <w:t xml:space="preserve">For stakeholders in Malaysia Kuala Lumpur—including hospital administrators, corporate HR departments, and policymakers—recognizing the strategic value of dietetic services is essential. By integrating certified dietitians into primary care frameworks, we can effectively combat the rising tide of non-communicable diseases and promote a healthier, more sustainable future for the population.</w:t>
      </w:r>
    </w:p>
    <w:p>
      <w:pPr>
        <w:pStyle w:val="BodyText"/>
      </w:pPr>
      <w:r>
        <w:t xml:space="preserve">The journey toward better health in Malaysia Kuala Lumpur is not just about individual choices; it is about creating an environment where making the right nutritional choice is accessible, affordable, and guided by expert professional care.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Integrative Nutritional Therapy in Malaysia Kuala Lumpur</dc:title>
  <dc:creator/>
  <dc:language>en</dc:language>
  <cp:keywords/>
  <dcterms:created xsi:type="dcterms:W3CDTF">2026-07-29T18:56:40Z</dcterms:created>
  <dcterms:modified xsi:type="dcterms:W3CDTF">2026-07-29T18:56:40Z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