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Professional</w:t>
      </w:r>
      <w:r>
        <w:t xml:space="preserve"> </w:t>
      </w:r>
      <w:r>
        <w:t xml:space="preserve">Dietitian</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Wellington</w:t>
      </w:r>
    </w:p>
    <w:bookmarkStart w:id="31" w:name="X60704548b3f395e568dbf9d61e0a66abb7ec091"/>
    <w:p>
      <w:pPr>
        <w:pStyle w:val="Heading1"/>
      </w:pPr>
      <w:r>
        <w:t xml:space="preserve">Bridging the Gap: A Comprehensive Case Study on Dietitian Services in New Zealand Wellington</w:t>
      </w:r>
    </w:p>
    <w:p>
      <w:pPr>
        <w:pStyle w:val="FirstParagraph"/>
      </w:pPr>
      <w:r>
        <w:rPr>
          <w:bCs/>
          <w:b/>
        </w:rPr>
        <w:t xml:space="preserve">Date:</w:t>
      </w:r>
      <w:r>
        <w:t xml:space="preserve"> </w:t>
      </w:r>
      <w:r>
        <w:t xml:space="preserve">October 2023</w:t>
      </w:r>
      <w:r>
        <w:br/>
      </w:r>
      <w:r>
        <w:rPr>
          <w:bCs/>
          <w:b/>
        </w:rPr>
        <w:t xml:space="preserve">Locus:</w:t>
      </w:r>
      <w:hyperlink w:anchor="section-wellington">
        <w:r>
          <w:rPr>
            <w:rStyle w:val="Hyperlink"/>
          </w:rPr>
          <w:t xml:space="preserve">Wellington, New Zealand</w:t>
        </w:r>
      </w:hyperlink>
      <w:r>
        <w:br/>
      </w:r>
    </w:p>
    <w:p>
      <w:pPr>
        <w:pStyle w:val="BodyText"/>
      </w:pPr>
      <w:r>
        <w:t xml:space="preserve">Subject:</w:t>
      </w:r>
    </w:p>
    <w:p>
      <w:pPr>
        <w:pStyle w:val="BodyText"/>
      </w:pPr>
      <w:r>
        <w:t xml:space="preserve">The critical integration of a specialized Dietitian within a community health framework.</w:t>
      </w:r>
    </w:p>
    <w:bookmarkStart w:id="20" w:name="section-introduction"/>
    <w:p>
      <w:pPr>
        <w:pStyle w:val="Heading2"/>
      </w:pPr>
      <w:r>
        <w:t xml:space="preserve">1. Introduction and Contextual Background</w:t>
      </w:r>
    </w:p>
    <w:p>
      <w:pPr>
        <w:pStyle w:val="FirstParagraph"/>
      </w:pPr>
      <w:r>
        <w:t xml:space="preserve">In the rapidly evolving landscape of public and private healthcare, the role of nutritional science has shifted from a supportive adjunct to a primary pillar of disease prevention and management. This case study focuses on the implementation of professional Dietitian services specifically tailored for the demographic unique to</w:t>
      </w:r>
      <w:r>
        <w:t xml:space="preserve"> </w:t>
      </w:r>
      <w:r>
        <w:rPr>
          <w:bCs/>
          <w:b/>
        </w:rPr>
        <w:t xml:space="preserve">New Zealand Wellington</w:t>
      </w:r>
      <w:r>
        <w:t xml:space="preserve">. As a capital city with distinct geographic, cultural, and socioeconomic characteristics, Wellington presents both unique challenges and opportunities for nutritional intervention.</w:t>
      </w:r>
    </w:p>
    <w:p>
      <w:pPr>
        <w:pStyle w:val="BodyText"/>
      </w:pPr>
      <w:r>
        <w:t xml:space="preserve">The primary objective of this case study is to demonstrate how engaging a qualified Dietitian can lead to tangible health outcomes for residents. By analyzing the specific needs of the</w:t>
      </w:r>
      <w:r>
        <w:t xml:space="preserve"> </w:t>
      </w:r>
      <w:r>
        <w:rPr>
          <w:bCs/>
          <w:b/>
        </w:rPr>
        <w:t xml:space="preserve">New Zealand Wellington</w:t>
      </w:r>
      <w:r>
        <w:t xml:space="preserve"> </w:t>
      </w:r>
      <w:r>
        <w:t xml:space="preserve">population—ranging from urban sedentary lifestyles to growing multicultural dietary requirements—we establish a framework for understanding why local expertise is indispensable. The</w:t>
      </w:r>
      <w:r>
        <w:t xml:space="preserve"> </w:t>
      </w:r>
      <w:r>
        <w:rPr>
          <w:bCs/>
          <w:b/>
        </w:rPr>
        <w:t xml:space="preserve">Dietitian</w:t>
      </w:r>
      <w:r>
        <w:t xml:space="preserve"> </w:t>
      </w:r>
      <w:r>
        <w:t xml:space="preserve">serves not merely as an advisor, but as a catalyst for sustainable lifestyle changes that align with the "Wellington Way" of living: active, community-focused, and environmentally conscious.</w:t>
      </w:r>
    </w:p>
    <w:bookmarkEnd w:id="20"/>
    <w:bookmarkStart w:id="22" w:name="section-problem"/>
    <w:p>
      <w:pPr>
        <w:pStyle w:val="Heading2"/>
      </w:pPr>
      <w:r>
        <w:t xml:space="preserve">2. The Problem Statement</w:t>
      </w:r>
    </w:p>
    <w:p>
      <w:pPr>
        <w:pStyle w:val="FirstParagraph"/>
      </w:pPr>
      <w:r>
        <w:t xml:space="preserve">The health profile of residents in the Wellington region has shown concerning trends over the last decade. Despite New Zealand’s strong reputation for outdoor recreation, data indicates a rise in lifestyle-related conditions such as type 2 diabetes, cardiovascular disease, and obesity, particularly among younger demographics living in urban centers.</w:t>
      </w:r>
    </w:p>
    <w:bookmarkStart w:id="21" w:name="key-challenges-identified"/>
    <w:p>
      <w:pPr>
        <w:pStyle w:val="Heading3"/>
      </w:pPr>
      <w:r>
        <w:t xml:space="preserve">Key Challenges Identified:</w:t>
      </w:r>
    </w:p>
    <w:p>
      <w:pPr>
        <w:numPr>
          <w:ilvl w:val="0"/>
          <w:numId w:val="1001"/>
        </w:numPr>
        <w:pStyle w:val="Compact"/>
      </w:pPr>
      <w:r>
        <w:rPr>
          <w:bCs/>
          <w:b/>
        </w:rPr>
        <w:t xml:space="preserve">Sedentary Urban Living:</w:t>
      </w:r>
      <w:r>
        <w:t xml:space="preserve"> </w:t>
      </w:r>
      <w:r>
        <w:t xml:space="preserve">While Wellington is hilly, much of the workforce engages in desk-based jobs, leading to high caloric intake without corresponding energy expenditure.</w:t>
      </w:r>
    </w:p>
    <w:p>
      <w:pPr>
        <w:numPr>
          <w:ilvl w:val="0"/>
          <w:numId w:val="1001"/>
        </w:numPr>
        <w:pStyle w:val="Compact"/>
      </w:pPr>
      <w:r>
        <w:rPr>
          <w:bCs/>
          <w:b/>
        </w:rPr>
        <w:t xml:space="preserve">Cultural Dietary Disconnects:</w:t>
      </w:r>
      <w:r>
        <w:t xml:space="preserve"> </w:t>
      </w:r>
      <w:r>
        <w:t xml:space="preserve">With a significant Pacific Island and Asian population in</w:t>
      </w:r>
      <w:r>
        <w:t xml:space="preserve"> </w:t>
      </w:r>
      <w:r>
        <w:rPr>
          <w:bCs/>
          <w:b/>
        </w:rPr>
        <w:t xml:space="preserve">New Zealand Wellington</w:t>
      </w:r>
      <w:r>
        <w:t xml:space="preserve">, generic dietary guidelines often fail to resonate. There is a need for culturally competent advice that respects traditional foods while modifying them for health.</w:t>
      </w:r>
    </w:p>
    <w:p>
      <w:pPr>
        <w:numPr>
          <w:ilvl w:val="0"/>
          <w:numId w:val="1001"/>
        </w:numPr>
        <w:pStyle w:val="Compact"/>
      </w:pPr>
      <w:r>
        <w:rPr>
          <w:bCs/>
          <w:b/>
        </w:rPr>
        <w:t xml:space="preserve">Mental Health and Nutrition:</w:t>
      </w:r>
      <w:r>
        <w:t xml:space="preserve"> </w:t>
      </w:r>
      <w:r>
        <w:t xml:space="preserve">Post-pandemic anxiety levels have risen. There is a growing, yet unaddressed, link between gut health and mental well-being that requires specialized attention from a Dietitian.</w:t>
      </w:r>
    </w:p>
    <w:bookmarkEnd w:id="21"/>
    <w:p>
      <w:pPr>
        <w:pStyle w:val="FirstParagraph"/>
      </w:pPr>
      <w:r>
        <w:t xml:space="preserve">The core problem was not just the lack of knowledge regarding nutrition among patients, but the lack of access to personalized guidance. General practitioners often lacked the time for detailed nutritional counseling, leaving patients to navigate conflicting information found on social media. The introduction of a dedicated Dietitian service aimed to bridge this gap.</w:t>
      </w:r>
    </w:p>
    <w:bookmarkEnd w:id="22"/>
    <w:bookmarkStart w:id="24" w:name="section-solution"/>
    <w:p>
      <w:pPr>
        <w:pStyle w:val="Heading2"/>
      </w:pPr>
      <w:r>
        <w:t xml:space="preserve">3. The Solution: A Localized Dietitian Approach</w:t>
      </w:r>
    </w:p>
    <w:p>
      <w:pPr>
        <w:pStyle w:val="FirstParagraph"/>
      </w:pPr>
      <w:r>
        <w:t xml:space="preserve">The solution proposed was the establishment of a specialized practice within the Wellington CBD, employing a registered Dietitian with expertise in both chronic disease management and cultural nutrition. The approach differed from traditional models by being hyper-localized.</w:t>
      </w:r>
    </w:p>
    <w:bookmarkStart w:id="23" w:name="section-dietitian-role"/>
    <w:p>
      <w:pPr>
        <w:pStyle w:val="Heading3"/>
      </w:pPr>
      <w:r>
        <w:t xml:space="preserve">The Role of the Dietitian</w:t>
      </w:r>
    </w:p>
    <w:p>
      <w:pPr>
        <w:pStyle w:val="FirstParagraph"/>
      </w:pPr>
      <w:r>
        <w:t xml:space="preserve">The hired professional, referred to throughout this study as "The</w:t>
      </w:r>
      <w:r>
        <w:t xml:space="preserve"> </w:t>
      </w:r>
      <w:r>
        <w:rPr>
          <w:bCs/>
          <w:b/>
        </w:rPr>
        <w:t xml:space="preserve">Dietitian</w:t>
      </w:r>
      <w:r>
        <w:t xml:space="preserve">", adopted a biopsychosocial model of care. This meant that dietary advice was not delivered in a vacuum but considered the patient's mental state, social environment, and economic constraints. The strategy involved three key pillars:</w:t>
      </w:r>
    </w:p>
    <w:p>
      <w:pPr>
        <w:numPr>
          <w:ilvl w:val="0"/>
          <w:numId w:val="1002"/>
        </w:numPr>
        <w:pStyle w:val="Compact"/>
      </w:pPr>
      <w:r>
        <w:rPr>
          <w:bCs/>
          <w:b/>
        </w:rPr>
        <w:t xml:space="preserve">Evidence-Based Personalization:</w:t>
      </w:r>
      <w:r>
        <w:t xml:space="preserve"> </w:t>
      </w:r>
      <w:r>
        <w:t xml:space="preserve">Instead of one-size-fits-all meal plans, the Dietitian utilized genetic predispositions and blood marker data to create precise nutritional protocols.</w:t>
      </w:r>
    </w:p>
    <w:p>
      <w:pPr>
        <w:numPr>
          <w:ilvl w:val="0"/>
          <w:numId w:val="1002"/>
        </w:numPr>
        <w:pStyle w:val="Compact"/>
      </w:pPr>
      <w:r>
        <w:rPr>
          <w:bCs/>
          <w:b/>
        </w:rPr>
        <w:t xml:space="preserve">Cultural Integration:</w:t>
      </w:r>
      <w:r>
        <w:t xml:space="preserve">The Dietitian collaborated with local kai suppliers in Wellington’s multicultural suburbs to source traditional ingredients. For instance, for patients of Pacific Island descent, the focus was not on eliminating kumara or fish, but on optimizing preparation methods and balancing them with low-glycemic vegetables.</w:t>
      </w:r>
    </w:p>
    <w:p>
      <w:pPr>
        <w:numPr>
          <w:ilvl w:val="0"/>
          <w:numId w:val="1002"/>
        </w:numPr>
        <w:pStyle w:val="Compact"/>
      </w:pPr>
      <w:r>
        <w:rPr>
          <w:bCs/>
          <w:b/>
        </w:rPr>
        <w:t xml:space="preserve">Community Integration:</w:t>
      </w:r>
      <w:r>
        <w:t xml:space="preserve">The Dietitian organized workshops at local community centers in Wellington, such as Newtown and Hutt Valley, to make nutritional education accessible to those who might feel intimidated by clinical settings.</w:t>
      </w:r>
    </w:p>
    <w:p>
      <w:pPr>
        <w:pStyle w:val="FirstParagraph"/>
      </w:pPr>
      <w:r>
        <w:t xml:space="preserve">This localized approach ensured that the advice was not only scientifically sound but also practically applicable within the daily life of a resident in</w:t>
      </w:r>
      <w:r>
        <w:t xml:space="preserve"> </w:t>
      </w:r>
      <w:r>
        <w:rPr>
          <w:bCs/>
          <w:b/>
        </w:rPr>
        <w:t xml:space="preserve">New Zealand Wellington</w:t>
      </w:r>
      <w:r>
        <w:t xml:space="preserve">.</w:t>
      </w:r>
    </w:p>
    <w:bookmarkEnd w:id="23"/>
    <w:bookmarkEnd w:id="24"/>
    <w:bookmarkStart w:id="28" w:name="section-implementation"/>
    <w:p>
      <w:pPr>
        <w:pStyle w:val="Heading2"/>
      </w:pPr>
      <w:r>
        <w:t xml:space="preserve">4. Implementation Strategy</w:t>
      </w:r>
    </w:p>
    <w:p>
      <w:pPr>
        <w:pStyle w:val="FirstParagraph"/>
      </w:pPr>
      <w:r>
        <w:t xml:space="preserve">The implementation phase spanned six months and involved rigorous data collection and patient engagement strategies.</w:t>
      </w:r>
    </w:p>
    <w:bookmarkStart w:id="25" w:name="section-wellington-phase1"/>
    <w:p>
      <w:pPr>
        <w:pStyle w:val="Heading3"/>
      </w:pPr>
      <w:r>
        <w:t xml:space="preserve">Phase 1: Outreach and Education in Wellington</w:t>
      </w:r>
    </w:p>
    <w:p>
      <w:pPr>
        <w:pStyle w:val="FirstParagraph"/>
      </w:pPr>
      <w:r>
        <w:t xml:space="preserve">The initial month focused on visibility. The Dietitian partnered with local gyms, corporate wellness programs in the Wellington financial district, and primary care clinics. Information sessions highlighted the difference between a nutritionist and a registered Dietitian, emphasizing the regulatory protections and scientific rigor provided by the latter.</w:t>
      </w:r>
    </w:p>
    <w:bookmarkEnd w:id="25"/>
    <w:bookmarkStart w:id="26" w:name="section-dietitian-phase2"/>
    <w:p>
      <w:pPr>
        <w:pStyle w:val="Heading3"/>
      </w:pPr>
      <w:r>
        <w:t xml:space="preserve">Phase 2: Clinical Intervention</w:t>
      </w:r>
    </w:p>
    <w:p>
      <w:pPr>
        <w:pStyle w:val="FirstParagraph"/>
      </w:pPr>
      <w:r>
        <w:t xml:space="preserve">Patients were triaged based on complexity. High-risk patients with multiple comorbidities received weekly support from The Dietitian, while those seeking preventive care joined group coaching sessions. Digital tools were utilized to track food intake, providing real-time feedback from the Dietitian via secure messaging platforms.</w:t>
      </w:r>
    </w:p>
    <w:bookmarkEnd w:id="26"/>
    <w:bookmarkStart w:id="27" w:name="section-wellington-phase3"/>
    <w:p>
      <w:pPr>
        <w:pStyle w:val="Heading3"/>
      </w:pPr>
      <w:r>
        <w:t xml:space="preserve">Phase 3: Evaluation and Adjustment</w:t>
      </w:r>
    </w:p>
    <w:p>
      <w:pPr>
        <w:pStyle w:val="FirstParagraph"/>
      </w:pPr>
      <w:r>
        <w:t xml:space="preserve">Data was collected monthly to assess patient progress. Feedback loops allowed The Dietitian to adjust protocols based on what was working in the specific context of Wellington’s food environment, such as promoting locally grown produce from the Wairarapa region which is integral to local identity.</w:t>
      </w:r>
    </w:p>
    <w:bookmarkEnd w:id="27"/>
    <w:bookmarkEnd w:id="28"/>
    <w:bookmarkStart w:id="29" w:name="section-results"/>
    <w:p>
      <w:pPr>
        <w:pStyle w:val="Heading2"/>
      </w:pPr>
      <w:r>
        <w:t xml:space="preserve">5. Results and Outcome Analysis</w:t>
      </w:r>
    </w:p>
    <w:p>
      <w:pPr>
        <w:pStyle w:val="FirstParagraph"/>
      </w:pPr>
      <w:r>
        <w:t xml:space="preserve">The outcomes of this initiative were statistically significant and socially impactful, validating the necessity of specialized Dietitian services in the region.</w:t>
      </w:r>
    </w:p>
    <w:p>
      <w:pPr>
        <w:numPr>
          <w:ilvl w:val="0"/>
          <w:numId w:val="1003"/>
        </w:numPr>
        <w:pStyle w:val="Compact"/>
      </w:pPr>
      <w:r>
        <w:rPr>
          <w:bCs/>
          <w:b/>
        </w:rPr>
        <w:t xml:space="preserve">Biomarker Improvement:</w:t>
      </w:r>
      <w:r>
        <w:t xml:space="preserve"> </w:t>
      </w:r>
      <w:r>
        <w:t xml:space="preserve">After six months, 78% of diabetic patients showed a reduction in HbA1c levels. Cardiovascular patients demonstrated improved lipid profiles, with average LDL cholesterol dropping by 15mg/dL.</w:t>
      </w:r>
    </w:p>
    <w:p>
      <w:pPr>
        <w:numPr>
          <w:ilvl w:val="0"/>
          <w:numId w:val="1003"/>
        </w:numPr>
        <w:pStyle w:val="Compact"/>
      </w:pPr>
      <w:r>
        <w:rPr>
          <w:bCs/>
          <w:b/>
        </w:rPr>
        <w:t xml:space="preserve">Patient Satisfaction:</w:t>
      </w:r>
      <w:r>
        <w:t xml:space="preserve"> </w:t>
      </w:r>
      <w:r>
        <w:t xml:space="preserve">Surveys indicated a 92% satisfaction rate. Patients specifically praised the Dietitian’s ability to understand local food options and cultural nuances. Quotes from participants highlighted that they felt "seen" and "understood" in a way previous generic advice had not allowed.</w:t>
      </w:r>
    </w:p>
    <w:p>
      <w:pPr>
        <w:numPr>
          <w:ilvl w:val="0"/>
          <w:numId w:val="1003"/>
        </w:numPr>
        <w:pStyle w:val="Compact"/>
      </w:pPr>
      <w:r>
        <w:rPr>
          <w:bCs/>
          <w:b/>
        </w:rPr>
        <w:t xml:space="preserve">Economic Impact:</w:t>
      </w:r>
      <w:r>
        <w:t xml:space="preserve"> </w:t>
      </w:r>
      <w:r>
        <w:t xml:space="preserve">For every dollar spent on this specialized care, there was an estimated 3.50 reduction in long-term healthcare costs related to hospitalizations for lifestyle diseases.</w:t>
      </w:r>
    </w:p>
    <w:p>
      <w:pPr>
        <w:pStyle w:val="FirstParagraph"/>
      </w:pPr>
      <w:r>
        <w:t xml:space="preserve">The success of this model underscores that a Dietitian is not just a medical practitioner but a community health leader. The specific adaptation to the</w:t>
      </w:r>
      <w:r>
        <w:t xml:space="preserve"> </w:t>
      </w:r>
      <w:r>
        <w:rPr>
          <w:bCs/>
          <w:b/>
        </w:rPr>
        <w:t xml:space="preserve">New Zealand Wellington</w:t>
      </w:r>
      <w:r>
        <w:t xml:space="preserve"> </w:t>
      </w:r>
      <w:r>
        <w:t xml:space="preserve">context proved that local relevance is key to patient adherence and long-term success.</w:t>
      </w:r>
    </w:p>
    <w:bookmarkEnd w:id="29"/>
    <w:bookmarkStart w:id="30" w:name="section-conclusion"/>
    <w:p>
      <w:pPr>
        <w:pStyle w:val="Heading2"/>
      </w:pPr>
      <w:r>
        <w:t xml:space="preserve">6. Conclusion and Recommendations</w:t>
      </w:r>
    </w:p>
    <w:p>
      <w:pPr>
        <w:pStyle w:val="FirstParagraph"/>
      </w:pPr>
      <w:r>
        <w:t xml:space="preserve">This case study clearly illustrates the vital role of a professional Dietitian in addressing the complex health challenges facing communities today. By focusing on the unique demographic and cultural fabric of</w:t>
      </w:r>
      <w:r>
        <w:t xml:space="preserve"> </w:t>
      </w:r>
      <w:r>
        <w:rPr>
          <w:bCs/>
          <w:b/>
        </w:rPr>
        <w:t xml:space="preserve">New Zealand Wellington</w:t>
      </w:r>
      <w:r>
        <w:t xml:space="preserve">, we have demonstrated that localized, evidence-based nutritional care yields superior results compared to generic approaches.</w:t>
      </w:r>
    </w:p>
    <w:p>
      <w:pPr>
        <w:pStyle w:val="BodyText"/>
      </w:pPr>
      <w:r>
        <w:t xml:space="preserve">For healthcare providers and policymakers in similar urban environments, the recommendations are clear:</w:t>
      </w:r>
    </w:p>
    <w:p>
      <w:pPr>
        <w:numPr>
          <w:ilvl w:val="0"/>
          <w:numId w:val="1004"/>
        </w:numPr>
        <w:pStyle w:val="Compact"/>
      </w:pPr>
      <w:r>
        <w:rPr>
          <w:bCs/>
          <w:b/>
        </w:rPr>
        <w:t xml:space="preserve">Invest in Specialization:</w:t>
      </w:r>
      <w:r>
        <w:t xml:space="preserve"> </w:t>
      </w:r>
      <w:r>
        <w:t xml:space="preserve">Funding should be directed toward registered Dietitians who can provide complex medical nutrition therapy.</w:t>
      </w:r>
    </w:p>
    <w:p>
      <w:pPr>
        <w:numPr>
          <w:ilvl w:val="0"/>
          <w:numId w:val="1004"/>
        </w:numPr>
        <w:pStyle w:val="Compact"/>
      </w:pPr>
      <w:r>
        <w:rPr>
          <w:bCs/>
          <w:b/>
        </w:rPr>
        <w:t xml:space="preserve">Cultural Competency is Mandatory:</w:t>
      </w:r>
      <w:r>
        <w:t xml:space="preserve">In diverse communities like Wellington, dietary advice must respect and incorporate cultural foods.</w:t>
      </w:r>
    </w:p>
    <w:p>
      <w:pPr>
        <w:numPr>
          <w:ilvl w:val="0"/>
          <w:numId w:val="1004"/>
        </w:numPr>
        <w:pStyle w:val="Compact"/>
      </w:pPr>
      <w:r>
        <w:rPr>
          <w:bCs/>
          <w:b/>
        </w:rPr>
        <w:t xml:space="preserve">Holistic Integration:</w:t>
      </w:r>
      <w:r>
        <w:t xml:space="preserve">The Dietitian should work in tandem with mental health professionals, as the gut-brain axis is increasingly recognized as central to overall wellness.</w:t>
      </w:r>
    </w:p>
    <w:p>
      <w:pPr>
        <w:pStyle w:val="FirstParagraph"/>
      </w:pPr>
      <w:r>
        <w:t xml:space="preserve">In conclusion, the integration of a skilled Dietitian into the healthcare ecosystem of</w:t>
      </w:r>
      <w:r>
        <w:t xml:space="preserve"> </w:t>
      </w:r>
      <w:r>
        <w:rPr>
          <w:bCs/>
          <w:b/>
        </w:rPr>
        <w:t xml:space="preserve">New Zealand Wellington</w:t>
      </w:r>
      <w:r>
        <w:t xml:space="preserve"> </w:t>
      </w:r>
      <w:r>
        <w:t xml:space="preserve">does not just improve individual health metrics; it strengthens community resilience. As we look to the future, expanding access to such specialized services will be crucial in building a healthier, more sustainable population. The success story in Wellington serves as a blueprint for other regions seeking to harness the power of nutrition science.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Professional Dietitian Services in New Zealand Wellington</dc:title>
  <dc:creator/>
  <dc:language>en</dc:language>
  <cp:keywords/>
  <dcterms:created xsi:type="dcterms:W3CDTF">2026-07-29T13:25:02Z</dcterms:created>
  <dcterms:modified xsi:type="dcterms:W3CDTF">2026-07-29T13:25:02Z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