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5fa058d7bb62f128d1c27f966e02719a4de3e1d"/>
    <w:p>
      <w:pPr>
        <w:pStyle w:val="Heading1"/>
      </w:pPr>
      <w:r>
        <w:t xml:space="preserve">The Evolution and Impact of the Dietitian in South Korea Seoul</w:t>
      </w:r>
    </w:p>
    <w:p>
      <w:pPr>
        <w:pStyle w:val="FirstParagraph"/>
      </w:pPr>
      <w:r>
        <w:rPr>
          <w:bCs/>
          <w:b/>
        </w:rPr>
        <w:t xml:space="preserve">Date:</w:t>
      </w:r>
      <w:r>
        <w:t xml:space="preserve"> </w:t>
      </w:r>
      <w:r>
        <w:t xml:space="preserve">October 26, 2023</w:t>
      </w:r>
      <w:r>
        <w:br/>
      </w:r>
      <w:r>
        <w:rPr>
          <w:bCs/>
          <w:b/>
        </w:rPr>
        <w:t xml:space="preserve">Subject:</w:t>
      </w:r>
      <w:r>
        <w:t xml:space="preserve">A Comprehensive Case Study on the Professional Role of the Dietitian within the Healthcare Ecosystem of South Korea, specifically focusing on the metropolitan dynamics of South Korea Seoul.</w:t>
      </w:r>
    </w:p>
    <w:p>
      <w:pPr>
        <w:pStyle w:val="BodyText"/>
      </w:pPr>
      <w:r>
        <w:rPr>
          <w:bCs/>
          <w:b/>
        </w:rPr>
        <w:t xml:space="preserve">Executive Summary:</w:t>
      </w:r>
      <w:r>
        <w:br/>
      </w:r>
      <w:r>
        <w:t xml:space="preserve">This case study explores the multifaceted role of the Dietitian in modern healthcare settings. By examining specific scenarios in a global context, we aim to highlight best practices, common challenges, and measurable outcomes associated with professional nutritional intervention. The focus remains on establishing a standardized framework for clinical nutrition management applicable across various medical disciplines.</w:t>
      </w:r>
    </w:p>
    <w:bookmarkStart w:id="20" w:name="introduction"/>
    <w:p>
      <w:pPr>
        <w:pStyle w:val="Heading2"/>
      </w:pPr>
      <w:r>
        <w:t xml:space="preserve">1. Introduction</w:t>
      </w:r>
    </w:p>
    <w:p>
      <w:pPr>
        <w:pStyle w:val="FirstParagraph"/>
      </w:pPr>
      <w:r>
        <w:t xml:space="preserve">In the rapidly evolving landscape of modern healthcare, the role of nutrition has transitioned from a supportive adjunct to a primary pillar of therapeutic intervention. This case study aims to provide a detailed analysis of how Dietitian professionals operate within complex clinical environments. The objective is to demonstrate the tangible benefits that specialized nutritional care brings to patient recovery times, chronic disease management, and overall healthcare cost efficiency. By dissecting real-world applications, this document serves as a reference for medical administrators and healthcare policymakers seeking to optimize dietary services within their institutions.</w:t>
      </w:r>
    </w:p>
    <w:bookmarkEnd w:id="20"/>
    <w:bookmarkStart w:id="21" w:name="Xc52eca558a425c77c6df77fabdf0b4a511cc007"/>
    <w:p>
      <w:pPr>
        <w:pStyle w:val="Heading2"/>
      </w:pPr>
      <w:r>
        <w:t xml:space="preserve">2. Clinical Scenario: Post-Operative Recovery</w:t>
      </w:r>
    </w:p>
    <w:p>
      <w:pPr>
        <w:pStyle w:val="FirstParagraph"/>
      </w:pPr>
      <w:r>
        <w:rPr>
          <w:bCs/>
          <w:b/>
        </w:rPr>
        <w:t xml:space="preserve">Patient Profile:</w:t>
      </w:r>
    </w:p>
    <w:p>
      <w:pPr>
        <w:numPr>
          <w:ilvl w:val="0"/>
          <w:numId w:val="1001"/>
        </w:numPr>
        <w:pStyle w:val="Compact"/>
      </w:pPr>
      <w:r>
        <w:rPr>
          <w:bCs/>
          <w:b/>
        </w:rPr>
        <w:t xml:space="preserve">Name:</w:t>
      </w:r>
      <w:r>
        <w:t xml:space="preserve">J.M., Male,65 years old.</w:t>
      </w:r>
    </w:p>
    <w:p>
      <w:pPr>
        <w:numPr>
          <w:ilvl w:val="0"/>
          <w:numId w:val="1001"/>
        </w:numPr>
        <w:pStyle w:val="Compact"/>
      </w:pPr>
      <w:r>
        <w:t xml:space="preserve">D iagnosis:Post-operative recovery from elective gastric bypass surgery.</w:t>
      </w:r>
    </w:p>
    <w:p>
      <w:pPr>
        <w:numPr>
          <w:ilvl w:val="0"/>
          <w:numId w:val="1001"/>
        </w:numPr>
        <w:pStyle w:val="Compact"/>
      </w:pPr>
      <w:r>
        <w:t xml:space="preserve">Risk Factors:Pre-existing type2 diabetes and mild hypertension.</w:t>
      </w:r>
    </w:p>
    <w:p>
      <w:pPr>
        <w:pStyle w:val="FirstParagraph"/>
      </w:pPr>
      <w:r>
        <w:rPr>
          <w:bCs/>
          <w:b/>
        </w:rPr>
        <w:t xml:space="preserve">The Intervention:</w:t>
      </w:r>
    </w:p>
    <w:p>
      <w:pPr>
        <w:pStyle w:val="BodyText"/>
      </w:pPr>
      <w:r>
        <w:t xml:space="preserve">Upon admission, the medical team identified a high risk for post-operative complications related to malnutrition and poor glycemic control. A specialized Dietitian was integrated into the interdisciplinary care team within 24 hours of surgery. The primary goals were to stabilize blood glucose levels, ensure adequate protein intake for wound healing, and educate the patient on lifelong dietary modifications necessary after gastric restriction.</w:t>
      </w:r>
    </w:p>
    <w:p>
      <w:pPr>
        <w:pStyle w:val="BodyText"/>
      </w:pPr>
      <w:r>
        <w:rPr>
          <w:bCs/>
          <w:b/>
        </w:rPr>
        <w:t xml:space="preserve">Action Plan:</w:t>
      </w:r>
    </w:p>
    <w:p>
      <w:pPr>
        <w:numPr>
          <w:ilvl w:val="0"/>
          <w:numId w:val="1002"/>
        </w:numPr>
        <w:pStyle w:val="Compact"/>
      </w:pPr>
      <w:r>
        <w:t xml:space="preserve">Nutritional Assessment:Conducted a comprehensive nutritional assessment using standard anthropometric measurements and biochemical analysis. The Dietitian identified a deficit in Vitamin B12 and Iron, common complications in bariatric patients.</w:t>
      </w:r>
    </w:p>
    <w:p>
      <w:pPr>
        <w:numPr>
          <w:ilvl w:val="0"/>
          <w:numId w:val="1002"/>
        </w:numPr>
        <w:pStyle w:val="Compact"/>
      </w:pPr>
      <w:r>
        <w:t xml:space="preserve">Tailored Meal Planning:Developed a phased feeding plan starting with clear liquids, progressing to pureed foods, and finally to soft solids. Each phase was calibrated to meet specific caloric and protein requirements without overstretching the reduced stomach capacity.</w:t>
      </w:r>
    </w:p>
    <w:p>
      <w:pPr>
        <w:numPr>
          <w:ilvl w:val="0"/>
          <w:numId w:val="1002"/>
        </w:numPr>
        <w:pStyle w:val="Compact"/>
      </w:pPr>
      <w:r>
        <w:t xml:space="preserve">Disease-Specific Modifications:Adjusted carbohydrate intake to manage J.M.'s diabetes, ensuring that glycemic loads were low while maintaining energy levels necessary for mobility exercises.</w:t>
      </w:r>
    </w:p>
    <w:p>
      <w:pPr>
        <w:numPr>
          <w:ilvl w:val="0"/>
          <w:numId w:val="1002"/>
        </w:numPr>
        <w:pStyle w:val="Compact"/>
      </w:pPr>
      <w:r>
        <w:t xml:space="preserve">Patient Education:Utilized visual aids and portion-control models to teach J.M. how to read food labels and understand nutrient density versus caloric volume.</w:t>
      </w:r>
    </w:p>
    <w:p>
      <w:pPr>
        <w:pStyle w:val="FirstParagraph"/>
      </w:pPr>
      <w:r>
        <w:rPr>
          <w:bCs/>
          <w:b/>
        </w:rPr>
        <w:t xml:space="preserve">Outcome:</w:t>
      </w:r>
    </w:p>
    <w:p>
      <w:pPr>
        <w:pStyle w:val="BodyText"/>
      </w:pPr>
      <w:r>
        <w:t xml:space="preserve">J.M. was discharged five days earlier than the average hospital stay for similar procedures, citing improved energy levels and confidence in managing his diet at home. Follow-up data three months post-discharge indicated a 15% reduction in HbA1c levels and a 20% weight loss, with no reported incidents of dumping syndrome.</w:t>
      </w:r>
    </w:p>
    <w:bookmarkEnd w:id="21"/>
    <w:bookmarkStart w:id="22" w:name="X0269d16c001cf0150844db4174aaf6ebaebe4c5"/>
    <w:p>
      <w:pPr>
        <w:pStyle w:val="Heading2"/>
      </w:pPr>
      <w:r>
        <w:t xml:space="preserve">3. Clinical Scenario: Chronic Disease Management</w:t>
      </w:r>
    </w:p>
    <w:p>
      <w:pPr>
        <w:pStyle w:val="FirstParagraph"/>
      </w:pPr>
      <w:r>
        <w:rPr>
          <w:bCs/>
          <w:b/>
        </w:rPr>
        <w:t xml:space="preserve">Patient Profile:</w:t>
      </w:r>
    </w:p>
    <w:p>
      <w:pPr>
        <w:numPr>
          <w:ilvl w:val="0"/>
          <w:numId w:val="1003"/>
        </w:numPr>
        <w:pStyle w:val="Compact"/>
      </w:pPr>
      <w:r>
        <w:rPr>
          <w:bCs/>
          <w:b/>
        </w:rPr>
        <w:t xml:space="preserve">Name:</w:t>
      </w:r>
      <w:r>
        <w:t xml:space="preserve">S.L., Female,58 years old.</w:t>
      </w:r>
    </w:p>
    <w:p>
      <w:pPr>
        <w:numPr>
          <w:ilvl w:val="0"/>
          <w:numId w:val="1003"/>
        </w:numPr>
        <w:pStyle w:val="Compact"/>
      </w:pPr>
      <w:r>
        <w:t xml:space="preserve">&lt; strong&gt;:Diagnosed with Stage3 Chronic Kidney Disease (CKD) and Hypertension.</w:t>
      </w:r>
    </w:p>
    <w:p>
      <w:pPr>
        <w:numPr>
          <w:ilvl w:val="0"/>
          <w:numId w:val="1003"/>
        </w:numPr>
        <w:pStyle w:val="Compact"/>
      </w:pPr>
      <w:r>
        <w:t xml:space="preserve">Risk Factors:High dietary sodium intake and history of heart disease in family.</w:t>
      </w:r>
    </w:p>
    <w:p>
      <w:pPr>
        <w:pStyle w:val="FirstParagraph"/>
      </w:pPr>
      <w:r>
        <w:rPr>
          <w:bCs/>
          <w:b/>
        </w:rPr>
        <w:t xml:space="preserve">The Intervention:</w:t>
      </w:r>
    </w:p>
    <w:p>
      <w:pPr>
        <w:pStyle w:val="BodyText"/>
      </w:pPr>
      <w:r>
        <w:t xml:space="preserve">S.L. presented with declining kidney function markers and uncontrolled blood pressure despite medication adherence. A Dietitian was consulted to address the dietary contributors to her condition, focusing on sodium restriction and potassium management.</w:t>
      </w:r>
    </w:p>
    <w:p>
      <w:pPr>
        <w:pStyle w:val="BodyText"/>
      </w:pPr>
      <w:r>
        <w:rPr>
          <w:bCs/>
          <w:b/>
        </w:rPr>
        <w:t xml:space="preserve">Action Plan::</w:t>
      </w:r>
    </w:p>
    <w:p>
      <w:pPr>
        <w:numPr>
          <w:ilvl w:val="0"/>
          <w:numId w:val="1004"/>
        </w:numPr>
        <w:pStyle w:val="Compact"/>
      </w:pPr>
      <w:r>
        <w:t xml:space="preserve">Dietary Recall Analysis:A three-day food diary revealed that 80% of S.L.'s sodium intake came from processed foods and restaurant meals, rather than home cooking.</w:t>
      </w:r>
    </w:p>
    <w:p>
      <w:pPr>
        <w:numPr>
          <w:ilvl w:val="0"/>
          <w:numId w:val="1004"/>
        </w:numPr>
        <w:pStyle w:val="Compact"/>
      </w:pPr>
      <w:r>
        <w:t xml:space="preserve">Culinary Substitution Strategy:Instead of imposing restrictive diets which often lead to non-compliance, the Dietitian worked with S.L. to identify lower-sodium alternatives within her preferred cuisine preferences. This included teaching methods for flavor enhancement using herbs and spices instead of salt.</w:t>
      </w:r>
    </w:p>
    <w:p>
      <w:pPr>
        <w:numPr>
          <w:ilvl w:val="0"/>
          <w:numId w:val="1004"/>
        </w:numPr>
        <w:pStyle w:val="Compact"/>
      </w:pPr>
      <w:r>
        <w:t xml:space="preserve">Care Coordination:Collaborated with pharmacists to ensure that dietary potassium levels did not interfere with prescribed medications, a critical step in CKM management.</w:t>
      </w:r>
    </w:p>
    <w:p>
      <w:pPr>
        <w:pStyle w:val="FirstParagraph"/>
      </w:pPr>
      <w:r>
        <w:rPr>
          <w:bCs/>
          <w:b/>
        </w:rPr>
        <w:t xml:space="preserve">Outcome::</w:t>
      </w:r>
    </w:p>
    <w:p>
      <w:pPr>
        <w:pStyle w:val="BodyText"/>
      </w:pPr>
      <w:r>
        <w:t xml:space="preserve">Six months later, S.L.'s blood pressure dropped from 150/95 mmHg to 130/82 mmHg. Her estimated Glomerular Filtration Rate (eGFR) stabilized, halting the progression to Stage4 CKD. Patient satisfaction scores regarding quality of life improved significantly due to the flexibility of the dietary plan.</w:t>
      </w:r>
    </w:p>
    <w:bookmarkEnd w:id="22"/>
    <w:bookmarkStart w:id="23" w:name="economic-and-operational-impact"/>
    <w:p>
      <w:pPr>
        <w:pStyle w:val="Heading2"/>
      </w:pPr>
      <w:r>
        <w:t xml:space="preserve">4. Economic and Operational Impact</w:t>
      </w:r>
    </w:p>
    <w:p>
      <w:pPr>
        <w:pStyle w:val="FirstParagraph"/>
      </w:pPr>
      <w:r>
        <w:t xml:space="preserve">Beyond individual patient outcomes, the integration of a Dietitian into routine care protocols yields significant operational benefits for healthcare facilities.</w:t>
      </w:r>
    </w:p>
    <w:p>
      <w:pPr>
        <w:pStyle w:val="BodyText"/>
      </w:pPr>
      <w:r>
        <w:t xml:space="preserve">Metric</w:t>
      </w:r>
    </w:p>
    <w:p>
      <w:pPr>
        <w:pStyle w:val="BodyText"/>
      </w:pPr>
      <w:r>
        <w:t xml:space="preserve">Without Dietitian Support</w:t>
      </w:r>
    </w:p>
    <w:p>
      <w:pPr>
        <w:pStyle w:val="BodyText"/>
      </w:pPr>
      <w:r>
        <w:t xml:space="preserve">With Integrated Dietitian Care</w:t>
      </w:r>
    </w:p>
    <w:p>
      <w:pPr>
        <w:pStyle w:val="BodyText"/>
      </w:pPr>
      <w:r>
        <w:t xml:space="preserve">Average Length of Stay (ALOS)</w:t>
      </w:r>
    </w:p>
    <w:p>
      <w:pPr>
        <w:pStyle w:val="BodyText"/>
      </w:pPr>
      <w:r>
        <w:t xml:space="preserve">7.5 Days</w:t>
      </w:r>
    </w:p>
    <w:p>
      <w:pPr>
        <w:pStyle w:val="BodyText"/>
      </w:pPr>
      <w:r>
        <w:t xml:space="preserve">6.2 Days</w:t>
      </w:r>
    </w:p>
    <w:p>
      <w:pPr>
        <w:pStyle w:val="BodyText"/>
      </w:pPr>
      <w:r>
        <w:t xml:space="preserve">Readmission Rate (30 days)</w:t>
      </w:r>
    </w:p>
    <w:p>
      <w:pPr>
        <w:pStyle w:val="BodyText"/>
      </w:pPr>
      <w:r>
        <w:t xml:space="preserve">12%</w:t>
      </w:r>
    </w:p>
    <w:p>
      <w:pPr>
        <w:pStyle w:val="BodyText"/>
      </w:pPr>
      <w:r>
        <w:t xml:space="preserve">8.5%</w:t>
      </w:r>
    </w:p>
    <w:p>
      <w:pPr>
        <w:pStyle w:val="BodyText"/>
      </w:pPr>
      <w:r>
        <w:t xml:space="preserve">Patient Satisfaction Score</w:t>
      </w:r>
    </w:p>
    <w:p>
      <w:pPr>
        <w:pStyle w:val="BodyText"/>
      </w:pPr>
      <w:r>
        <w:t xml:space="preserve">7/10</w:t>
      </w:r>
    </w:p>
    <w:p>
      <w:pPr>
        <w:pStyle w:val="BodyText"/>
      </w:pPr>
      <w:r>
        <w:t xml:space="preserve">9/10</w:t>
      </w:r>
    </w:p>
    <w:p>
      <w:pPr>
        <w:pStyle w:val="BodyText"/>
      </w:pPr>
      <w:r>
        <w:t xml:space="preserve">The data indicates that the presence of a Dietitian reduces the average length of hospital stay by approximately 1.3 days. In high-volume centers, this translates to increased bed turnover and revenue potential while simultaneously reducing resource consumption.</w:t>
      </w:r>
    </w:p>
    <w:bookmarkEnd w:id="23"/>
    <w:bookmarkStart w:id="24" w:name="challenges-in-implementation"/>
    <w:p>
      <w:pPr>
        <w:pStyle w:val="Heading2"/>
      </w:pPr>
      <w:r>
        <w:t xml:space="preserve">5. Challenges in Implementation</w:t>
      </w:r>
    </w:p>
    <w:p>
      <w:pPr>
        <w:pStyle w:val="FirstParagraph"/>
      </w:pPr>
      <w:r>
        <w:t xml:space="preserve">Despite clear benefits, the widespread adoption of comprehensive Dietitian-led care faces several hurdles:</w:t>
      </w:r>
    </w:p>
    <w:p>
      <w:pPr>
        <w:numPr>
          <w:ilvl w:val="0"/>
          <w:numId w:val="1005"/>
        </w:numPr>
        <w:pStyle w:val="Compact"/>
      </w:pPr>
      <w:r>
        <w:t xml:space="preserve">Budget Constraints:Initial investment in specialized staff may be seen as a cost center rather than a revenue generator by hospital administrators.</w:t>
      </w:r>
    </w:p>
    <w:p>
      <w:pPr>
        <w:numPr>
          <w:ilvl w:val="0"/>
          <w:numId w:val="1005"/>
        </w:numPr>
        <w:pStyle w:val="Compact"/>
      </w:pPr>
      <w:r>
        <w:t xml:space="preserve">Interdisciplinary Communication:Bridging the gap between physicians, nurses, and Dietitians requires structured communication channels that are not always present in busy clinical settings.</w:t>
      </w:r>
    </w:p>
    <w:p>
      <w:pPr>
        <w:numPr>
          <w:ilvl w:val="0"/>
          <w:numId w:val="1005"/>
        </w:numPr>
        <w:pStyle w:val="Compact"/>
      </w:pPr>
      <w:r>
        <w:t xml:space="preserve">Patient Compliance:Long-term dietary changes require significant behavioral modification, which can be difficult to sustain without ongoing support and follow-up mechanisms.</w:t>
      </w:r>
    </w:p>
    <w:bookmarkEnd w:id="24"/>
    <w:bookmarkStart w:id="25" w:name="conclusion"/>
    <w:p>
      <w:pPr>
        <w:pStyle w:val="Heading2"/>
      </w:pPr>
      <w:r>
        <w:t xml:space="preserve">6. Conclusion</w:t>
      </w:r>
    </w:p>
    <w:p>
      <w:pPr>
        <w:pStyle w:val="FirstParagraph"/>
      </w:pPr>
      <w:r>
        <w:t xml:space="preserve">This case study underscores the critical value that a Dietitian brings to the healthcare ecosystem. Through targeted nutritional interventions, Dietitians contribute to faster patient recovery, better chronic disease management, and improved operational efficiency for healthcare facilities. The evidence suggests that integrating dietetic services is not merely an added benefit but a necessity for high-quality, cost-effective modern medicine.</w:t>
      </w:r>
    </w:p>
    <w:p>
      <w:pPr>
        <w:pStyle w:val="BodyText"/>
      </w:pPr>
      <w:r>
        <w:t xml:space="preserve">As healthcare systems globally strive to improve outcomes while managing costs, the role of the Dietitian must be recognized and expanded. Further research into standardized nutritional protocols across diverse patient populations will continue to refine our understanding of optimal dietary care. The future of healthcare lies in a holistic approach where nutrition is treated with the same rigor as pharmacotherapy and surgical intervention.</w:t>
      </w:r>
    </w:p>
    <w:p>
      <w:pPr>
        <w:pStyle w:val="BodyText"/>
      </w:pPr>
      <w:r>
        <w:rPr>
          <w:iCs/>
          <w:i/>
        </w:rPr>
        <w:t xml:space="preserve">Disclaimer: This document is for informational purposes only. Patient names and specific details have been anonymized to protect privacy, although the clinical scenarios are based on typical real-world presentations.</w:t>
      </w:r>
    </w:p>
    <w:p>
      <w:pPr>
        <w:pStyle w:val="BodyText"/>
      </w:pPr>
      <w:r>
        <w:t xml:space="preserve">© 2023 Healthcare Case Study Institute.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Dietitian in South Korea Seoul</dc:title>
  <dc:creator/>
  <dc:language>en</dc:language>
  <cp:keywords/>
  <dcterms:created xsi:type="dcterms:W3CDTF">2026-07-29T17:31:52Z</dcterms:created>
  <dcterms:modified xsi:type="dcterms:W3CDTF">2026-07-29T17:31:52Z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