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Health</w:t>
      </w:r>
      <w:r>
        <w:t xml:space="preserve"> </w:t>
      </w:r>
      <w:r>
        <w:t xml:space="preserve">Outcomes</w:t>
      </w:r>
      <w:r>
        <w:t xml:space="preserve"> </w:t>
      </w:r>
      <w:r>
        <w:t xml:space="preserve">through</w:t>
      </w:r>
      <w:r>
        <w:t xml:space="preserve"> </w:t>
      </w:r>
      <w:r>
        <w:t xml:space="preserve">Specialized</w:t>
      </w:r>
      <w:r>
        <w:t xml:space="preserve"> </w:t>
      </w:r>
      <w:r>
        <w:t xml:space="preserve">Dietetic</w:t>
      </w:r>
      <w:r>
        <w:t xml:space="preserve"> </w:t>
      </w:r>
      <w:r>
        <w:t xml:space="preserve">Care</w:t>
      </w:r>
      <w:r>
        <w:t xml:space="preserve"> </w:t>
      </w:r>
      <w:r>
        <w:t xml:space="preserve">in</w:t>
      </w:r>
      <w:r>
        <w:t xml:space="preserve"> </w:t>
      </w:r>
      <w:r>
        <w:t xml:space="preserve">United</w:t>
      </w:r>
      <w:r>
        <w:t xml:space="preserve"> </w:t>
      </w:r>
      <w:r>
        <w:t xml:space="preserve">Kingdom</w:t>
      </w:r>
      <w:r>
        <w:t xml:space="preserve"> </w:t>
      </w:r>
      <w:r>
        <w:t xml:space="preserve">London</w:t>
      </w:r>
    </w:p>
    <w:bookmarkStart w:id="32" w:name="X3f2682c7c1028a1d042ef64a1cf89c1bfbdc9da"/>
    <w:p>
      <w:pPr>
        <w:pStyle w:val="Heading1"/>
      </w:pPr>
      <w:r>
        <w:t xml:space="preserve">Case Study: The Role of the Dietitian in Modern Healthcare within United Kingdom London</w:t>
      </w:r>
    </w:p>
    <w:p>
      <w:pPr>
        <w:pStyle w:val="FirstParagraph"/>
      </w:pPr>
      <w:r>
        <w:rPr>
          <w:bCs/>
          <w:b/>
        </w:rPr>
        <w:t xml:space="preserve">Date:</w:t>
      </w:r>
      <w:r>
        <w:t xml:space="preserve"> </w:t>
      </w:r>
      <w:r>
        <w:t xml:space="preserve">October 2023</w:t>
      </w:r>
      <w:r>
        <w:br/>
      </w:r>
      <w:r>
        <w:rPr>
          <w:bCs/>
          <w:b/>
        </w:rPr>
        <w:t xml:space="preserve">Location:</w:t>
      </w:r>
      <w:hyperlink w:anchor="Xa39a3ee5e6b4b0d3255bfef95601890afd80709">
        <w:r>
          <w:rPr>
            <w:rStyle w:val="Hyperlink"/>
          </w:rPr>
          <w:t xml:space="preserve">United Kingdom London</w:t>
        </w:r>
      </w:hyperlink>
      <w:r>
        <w:br/>
      </w:r>
      <w:r>
        <w:rPr>
          <w:bCs/>
          <w:b/>
        </w:rPr>
        <w:t xml:space="preserve">Subject:</w:t>
      </w:r>
      <w:r>
        <w:t xml:space="preserve">Nutritional Intervention and Chronic Disease Management in a Multicultural Urban Environment</w:t>
      </w:r>
    </w:p>
    <w:bookmarkStart w:id="20" w:name="executive-summary"/>
    <w:p>
      <w:pPr>
        <w:pStyle w:val="Heading2"/>
      </w:pPr>
      <w:r>
        <w:t xml:space="preserve">1. Executive Summary</w:t>
      </w:r>
    </w:p>
    <w:p>
      <w:pPr>
        <w:pStyle w:val="FirstParagraph"/>
      </w:pPr>
      <w:r>
        <w:t xml:space="preserve">This case study explores the critical impact of professional dietetic services within the bustling metropolis of United Kingdom London. It details how a registered Dietitian navigates the complex healthcare landscape, addressing diverse nutritional needs across socioeconomic boundaries, while adhering to strict regulatory frameworks such as those set by the Health and Care Professions Council (HCPC).</w:t>
      </w:r>
    </w:p>
    <w:p>
      <w:pPr>
        <w:pStyle w:val="BodyText"/>
      </w:pPr>
      <w:r>
        <w:t xml:space="preserve">London stands as one of the most populous and culturally diverse cities in Europe. With this diversity comes a complex array of health challenges, ranging from rising rates of Type 2 diabetes and cardiovascular diseases to micronutrient deficiencies linked to specific cultural dietary practices. In this environment, the role of the Dietitian extends beyond simple meal planning; it involves medical nutrition therapy, behavioral change psychology, and public health advocacy. This document outlines a specific clinical case that highlights these dynamics.</w:t>
      </w:r>
    </w:p>
    <w:bookmarkEnd w:id="20"/>
    <w:bookmarkStart w:id="21" w:name="X808c7c32afb8a490b18204429406625f6cdaa48"/>
    <w:p>
      <w:pPr>
        <w:pStyle w:val="Heading2"/>
      </w:pPr>
      <w:r>
        <w:t xml:space="preserve">2. Context: The United Kingdom London Healthcare Landscape</w:t>
      </w:r>
    </w:p>
    <w:p>
      <w:pPr>
        <w:pStyle w:val="FirstParagraph"/>
      </w:pPr>
      <w:r>
        <w:t xml:space="preserve">The healthcare system in the United Kingdom is primarily managed through the National Health Service (NHS), which provides comprehensive care free at the point of use. However, waiting lists for specialist services, including dietetics, can be lengthy. Consequently, private practice and integrated community health models have become increasingly vital in United Kingdom London.</w:t>
      </w:r>
    </w:p>
    <w:p>
      <w:pPr>
        <w:pStyle w:val="BodyText"/>
      </w:pPr>
      <w:r>
        <w:t xml:space="preserve">In this specific case study context, the patient was referred to an independent Dietitian operating within Central London. The choice of a private Dietitian was driven by the need for immediate intervention due to rapid weight gain exacerbated by sedentary office work and high-stress levels typical of the financial district in London. Furthermore, the patient required culturally competent care that respected their heritage while addressing medical necessity.</w:t>
      </w:r>
    </w:p>
    <w:bookmarkEnd w:id="21"/>
    <w:bookmarkStart w:id="23" w:name="patient-profile-and-presentation"/>
    <w:p>
      <w:pPr>
        <w:pStyle w:val="Heading2"/>
      </w:pPr>
      <w:r>
        <w:t xml:space="preserve">3. Patient Profile and Presentation</w:t>
      </w:r>
    </w:p>
    <w:p>
      <w:pPr>
        <w:pStyle w:val="FirstParagraph"/>
      </w:pPr>
      <w:r>
        <w:rPr>
          <w:bCs/>
          <w:b/>
        </w:rPr>
        <w:t xml:space="preserve">Patient Demographics:</w:t>
      </w:r>
    </w:p>
    <w:p>
      <w:pPr>
        <w:pStyle w:val="BodyText"/>
      </w:pPr>
      <w:r>
        <w:rPr>
          <w:bCs/>
          <w:b/>
        </w:rPr>
        <w:t xml:space="preserve">Name:</w:t>
      </w:r>
      <w:r>
        <w:t xml:space="preserve"> </w:t>
      </w:r>
      <w:r>
        <w:t xml:space="preserve">"Mr. A" (Pseudonym)</w:t>
      </w:r>
    </w:p>
    <w:p>
      <w:pPr>
        <w:pStyle w:val="BodyText"/>
      </w:pPr>
      <w:r>
        <w:rPr>
          <w:bCs/>
          <w:b/>
        </w:rPr>
        <w:t xml:space="preserve">Age:</w:t>
      </w:r>
      <w:r>
        <w:t xml:space="preserve"> 45 years old</w:t>
      </w:r>
    </w:p>
    <w:p>
      <w:pPr>
        <w:pStyle w:val="BodyText"/>
      </w:pPr>
      <w:r>
        <w:rPr>
          <w:bCs/>
          <w:b/>
        </w:rPr>
        <w:t xml:space="preserve">Ocupation:</w:t>
      </w:r>
      <w:r>
        <w:t xml:space="preserve"> Senior Financial Analyst in City of London</w:t>
      </w:r>
    </w:p>
    <w:p>
      <w:pPr>
        <w:pStyle w:val="BodyText"/>
      </w:pPr>
      <w:r>
        <w:t xml:space="preserve">The initial assessment revealed several key factors contributing to his poor health status. He reported a sedentary lifestyle, with a desk-bound job lasting 10-12 hours daily. His dietary intake was characterized by frequent takeaway meals due to long working hours and the ubiquity of fast-food options in London. Furthermore, he had a family history of hypertension and Type 2 diabetes.</w:t>
      </w:r>
    </w:p>
    <w:bookmarkStart w:id="22" w:name="clinical-findings"/>
    <w:p>
      <w:pPr>
        <w:pStyle w:val="Heading3"/>
      </w:pPr>
      <w:r>
        <w:t xml:space="preserve">Clinical Findings</w:t>
      </w:r>
    </w:p>
    <w:p>
      <w:pPr>
        <w:pStyle w:val="FirstParagraph"/>
      </w:pPr>
      <w:r>
        <w:t xml:space="preserve">Upon consultation with the Dietitian, Mr. A presented with:</w:t>
      </w:r>
    </w:p>
    <w:p>
      <w:pPr>
        <w:pStyle w:val="BodyText"/>
      </w:pPr>
      <w:r>
        <w:rPr>
          <w:bCs/>
          <w:b/>
        </w:rPr>
        <w:t xml:space="preserve">BMI:</w:t>
      </w:r>
      <w:r>
        <w:t xml:space="preserve"> 31.5 (Class I Obesity)</w:t>
      </w:r>
    </w:p>
    <w:p>
      <w:pPr>
        <w:pStyle w:val="BodyText"/>
      </w:pPr>
      <w:r>
        <w:rPr>
          <w:bCs/>
          <w:b/>
        </w:rPr>
        <w:t xml:space="preserve">Blood Pressure:</w:t>
      </w:r>
      <w:r>
        <w:t xml:space="preserve"> 148/92 mmHg</w:t>
      </w:r>
    </w:p>
    <w:p>
      <w:pPr>
        <w:pStyle w:val="BodyText"/>
      </w:pPr>
      <w:r>
        <w:t xml:space="preserve">The primary goal set by the Dietitian was a 5-10% reduction in body weight over six months to mitigate cardiovascular risks and improve metabolic markers. Additionally, the focus was placed on sustainable lifestyle changes rather than restrictive fad diets.</w:t>
      </w:r>
    </w:p>
    <w:bookmarkEnd w:id="22"/>
    <w:bookmarkEnd w:id="23"/>
    <w:bookmarkStart w:id="27" w:name="X0fa9cbf684873806cf9712af8f65dcdf469a89b"/>
    <w:p>
      <w:pPr>
        <w:pStyle w:val="Heading2"/>
      </w:pPr>
      <w:r>
        <w:t xml:space="preserve">4. Intervention Strategy: The Role of the Dietitian</w:t>
      </w:r>
    </w:p>
    <w:p>
      <w:pPr>
        <w:pStyle w:val="FirstParagraph"/>
      </w:pPr>
      <w:r>
        <w:t xml:space="preserve">The intervention phase highlights the multifaceted role of a modern Dietitian in United Kingdom London. It is not merely about prescribing calories but about understanding the patient’s environment, culture, and psychology.</w:t>
      </w:r>
    </w:p>
    <w:bookmarkStart w:id="24" w:name="Xd0d66ed39f54ec72560533a11a37c0e9558e958"/>
    <w:p>
      <w:pPr>
        <w:pStyle w:val="Heading3"/>
      </w:pPr>
      <w:r>
        <w:t xml:space="preserve">A. Cultural Competency and Personalization</w:t>
      </w:r>
    </w:p>
    <w:p>
      <w:pPr>
        <w:pStyle w:val="FirstParagraph"/>
      </w:pPr>
      <w:r>
        <w:t xml:space="preserve">Recognizing that Mr. A was of South Asian heritage, the Dietitian ensured that dietary recommendations were culturally appropriate. Instead of imposing a generic Western-style diet, the Dietitian analyzed traditional family recipes to identify high-calorie or high-sodium components (such as ghee usage in curries or sweet tea consumption) and suggested healthier alternatives without removing cultural satisfaction. This approach is crucial for adherence, especially in a multicultural hub like London.</w:t>
      </w:r>
    </w:p>
    <w:bookmarkEnd w:id="24"/>
    <w:bookmarkStart w:id="25" w:name="b.-medical-nutrition-therapy-mnt"/>
    <w:p>
      <w:pPr>
        <w:pStyle w:val="Heading3"/>
      </w:pPr>
      <w:r>
        <w:t xml:space="preserve">B. Medical Nutrition Therapy (MNT)</w:t>
      </w:r>
    </w:p>
    <w:p>
      <w:pPr>
        <w:pStyle w:val="FirstParagraph"/>
      </w:pPr>
      <w:r>
        <w:t xml:space="preserve">The Dietitian implemented a Mediterranean-style dietary pattern, which has strong evidence bases for heart health. Key interventions included:</w:t>
      </w:r>
    </w:p>
    <w:bookmarkEnd w:id="25"/>
    <w:bookmarkStart w:id="26" w:name="c.-behavioral-change-techniques"/>
    <w:p>
      <w:pPr>
        <w:pStyle w:val="Heading3"/>
      </w:pPr>
      <w:r>
        <w:t xml:space="preserve">C. Behavioral Change Techniques</w:t>
      </w:r>
    </w:p>
    <w:p>
      <w:pPr>
        <w:pStyle w:val="FirstParagraph"/>
      </w:pPr>
      <w:r>
        <w:t xml:space="preserve">The Dietitian utilized Motivational Interviewing (MI) techniques to explore Mr. A’s ambivalence towards change. By understanding his barriers—such as the perception that healthy eating is expensive or time-consuming in London—the Dietitian provided practical solutions, such as batch-cooking on weekends and utilizing local markets for fresh produce.</w:t>
      </w:r>
    </w:p>
    <w:bookmarkEnd w:id="26"/>
    <w:bookmarkEnd w:id="27"/>
    <w:bookmarkStart w:id="28" w:name="outcomes-and-results"/>
    <w:p>
      <w:pPr>
        <w:pStyle w:val="Heading2"/>
      </w:pPr>
      <w:r>
        <w:t xml:space="preserve">5. Outcomes and Results</w:t>
      </w:r>
    </w:p>
    <w:p>
      <w:pPr>
        <w:pStyle w:val="FirstParagraph"/>
      </w:pPr>
      <w:r>
        <w:t xml:space="preserve">The follow-up assessment took place at three months. The results demonstrated significant improvement:</w:t>
      </w:r>
    </w:p>
    <w:p>
      <w:pPr>
        <w:pStyle w:val="BodyText"/>
      </w:pPr>
      <w:r>
        <w:rPr>
          <w:bCs/>
          <w:b/>
        </w:rPr>
        <w:t xml:space="preserve">BMI:</w:t>
      </w:r>
      <w:r>
        <w:t xml:space="preserve"> Reduced to 30.1 (Loss of 4.6% body weight)</w:t>
      </w:r>
    </w:p>
    <w:p>
      <w:pPr>
        <w:pStyle w:val="BodyText"/>
      </w:pPr>
      <w:r>
        <w:rPr>
          <w:bCs/>
          <w:b/>
        </w:rPr>
        <w:t xml:space="preserve">Blood Pressure:</w:t>
      </w:r>
      <w:r>
        <w:t xml:space="preserve"> </w:t>
      </w:r>
      <w:r>
        <w:t xml:space="preserve"> Improved to 132/84 mmHg</w:t>
      </w:r>
    </w:p>
    <w:p>
      <w:pPr>
        <w:pStyle w:val="BodyText"/>
      </w:pPr>
      <w:r>
        <w:t xml:space="preserve">Mr. A reported feeling more energetic and less reliant on caffeine for afternoon energy boosts. He successfully incorporated home-cooked meals twice a week, reducing his reliance on takeaways. The Dietitian noted that the patient’s adherence was high due to the personalized nature of the plan.</w:t>
      </w:r>
    </w:p>
    <w:bookmarkEnd w:id="28"/>
    <w:bookmarkStart w:id="29" w:name="X10dda47d04b1667ca9509de754a336c161b1ad2"/>
    <w:p>
      <w:pPr>
        <w:pStyle w:val="Heading2"/>
      </w:pPr>
      <w:r>
        <w:t xml:space="preserve">6. Discussion: The Broader Implications for United Kingdom London</w:t>
      </w:r>
    </w:p>
    <w:p>
      <w:pPr>
        <w:pStyle w:val="FirstParagraph"/>
      </w:pPr>
      <w:r>
        <w:t xml:space="preserve">This case study underscores several important points regarding dietetics in United Kingdom London:</w:t>
      </w:r>
    </w:p>
    <w:bookmarkEnd w:id="29"/>
    <w:bookmarkStart w:id="30" w:name="conclusion"/>
    <w:p>
      <w:pPr>
        <w:pStyle w:val="Heading2"/>
      </w:pPr>
      <w:r>
        <w:t xml:space="preserve">7. Conclusion</w:t>
      </w:r>
    </w:p>
    <w:p>
      <w:pPr>
        <w:pStyle w:val="FirstParagraph"/>
      </w:pPr>
      <w:r>
        <w:t xml:space="preserve">The role of the Dietitian in United Kingdom London is pivotal in addressing the dual burden of infectious and non-communicable diseases within a diverse population. This case study illustrates that effective nutritional intervention requires a blend of clinical expertise, cultural sensitivity, and practical lifestyle coaching. By personalizing care plans to fit the unique pressures and cultural backgrounds of patients, Dietitians can achieve sustainable health improvements.</w:t>
      </w:r>
    </w:p>
    <w:p>
      <w:pPr>
        <w:pStyle w:val="BodyText"/>
      </w:pPr>
      <w:r>
        <w:t xml:space="preserve">As London continues to grow in size and diversity, the demand for specialized dietetic services will rise. Healthcare providers must ensure that access to qualified Dietitians remains a priority, whether through NHS pathways or private partnerships, to combat the escalating rates of lifestyle-related diseases. The successful management of Mr. A’s health serves as a testament to the power of professional dietetic care in transforming individual lives and contributing to broader public health goals in United Kingdom London.</w:t>
      </w:r>
    </w:p>
    <w:bookmarkEnd w:id="30"/>
    <w:bookmarkStart w:id="31" w:name="references-and-standards"/>
    <w:p>
      <w:pPr>
        <w:pStyle w:val="Heading2"/>
      </w:pPr>
      <w:r>
        <w:t xml:space="preserve">8. References and Standards</w:t>
      </w:r>
    </w:p>
    <w:p>
      <w:pPr>
        <w:numPr>
          <w:ilvl w:val="0"/>
          <w:numId w:val="1003"/>
        </w:numPr>
        <w:pStyle w:val="Compact"/>
      </w:pPr>
      <w:r>
        <w:t xml:space="preserve">Health and Care Professions Council (HCPC). Standards of Proficiency for Dietitians.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Health Outcomes through Specialized Dietetic Care in United Kingdom London</dc:title>
  <dc:creator/>
  <cp:keywords/>
  <dcterms:created xsi:type="dcterms:W3CDTF">2026-07-29T08:56:11Z</dcterms:created>
  <dcterms:modified xsi:type="dcterms:W3CDTF">2026-07-29T08:56:11Z</dcterms:modified>
</cp:coreProperties>
</file>

<file path=docProps/custom.xml><?xml version="1.0" encoding="utf-8"?>
<Properties xmlns="http://schemas.openxmlformats.org/officeDocument/2006/custom-properties" xmlns:vt="http://schemas.openxmlformats.org/officeDocument/2006/docPropsVTypes"/>
</file>