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Diplomatic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28" w:name="X0108024f7b46ce2d725a5596f363cc6962d1c9c"/>
    <w:p>
      <w:pPr>
        <w:pStyle w:val="Heading1"/>
      </w:pPr>
      <w:r>
        <w:t xml:space="preserve">A Strategic Case Study of the Diplomat in China Guangzhou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Diplomat</w:t>
      </w:r>
    </w:p>
    <w:p>
      <w:pPr>
        <w:pStyle w:val="BodyText"/>
      </w:pPr>
      <w:r>
        <w:t xml:space="preserve">In an era defined by complex geopolitical shifts and intense economic interdependence, the position of a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is no longer confined to the traditional boundaries of protocol and formal negotiation. It has evolved into a multifaceted role that requires cultural fluency, economic acumen, and strategic foresight. Nowhere is this evolution more evident than in China Guangzhou, a city that serves as both a historical gateway to the East and the modern engine of Southern China’s economy. This case study explores how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practices must be adapted specifically within the unique context of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, examining the interplay between traditional statecraft and dynamic commercial diplomacy.</w:t>
      </w:r>
    </w:p>
    <w:bookmarkStart w:id="20" w:name="the-context-why-china-guangzhou"/>
    <w:p>
      <w:pPr>
        <w:pStyle w:val="Heading2"/>
      </w:pPr>
      <w:r>
        <w:t xml:space="preserve">The Context: Why China Guangzhou?</w:t>
      </w:r>
    </w:p>
    <w:p>
      <w:pPr>
        <w:pStyle w:val="FirstParagraph"/>
      </w:pPr>
      <w:r>
        <w:t xml:space="preserve">To understand the necessity of a specialized approach, one must first understand</w:t>
      </w:r>
      <w:r>
        <w:t xml:space="preserve"> </w:t>
      </w:r>
      <w:r>
        <w:rPr>
          <w:bCs/>
          <w:b/>
        </w:rPr>
        <w:t xml:space="preserve">China Guangzhou</w:t>
      </w:r>
      <w:r>
        <w:t xml:space="preserve">. As the provincial capital of Guangdong and the center of the Pearl River Delta,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This is not merely a backdrop; it is an active participant in global trade. For any</w:t>
      </w:r>
      <w:r>
        <w:t xml:space="preserve"> </w:t>
      </w:r>
      <w:r>
        <w:rPr>
          <w:bCs/>
          <w:b/>
        </w:rPr>
        <w:t xml:space="preserve">Diplomat</w:t>
      </w:r>
      <w:r>
        <w:t xml:space="preserve">, recognizing that</w:t>
      </w:r>
    </w:p>
    <w:p>
      <w:pPr>
        <w:pStyle w:val="BodyText"/>
      </w:pPr>
      <w:r>
        <w:t xml:space="preserve">China Guangzhou</w:t>
      </w:r>
    </w:p>
    <w:bookmarkEnd w:id="20"/>
    <w:bookmarkStart w:id="21" w:name="the-evolving-role-of-the-diplomat"/>
    <w:p>
      <w:pPr>
        <w:pStyle w:val="Heading2"/>
      </w:pPr>
      <w:r>
        <w:t xml:space="preserve">The Evolving Role of the Diplomat</w:t>
      </w:r>
    </w:p>
    <w:p>
      <w:pPr>
        <w:pStyle w:val="FirstParagraph"/>
      </w:pPr>
      <w:r>
        <w:t xml:space="preserve">In the past, a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rPr>
          <w:bCs/>
          <w:b/>
        </w:rPr>
        <w:t xml:space="preserve">The Economic Bridge:</w:t>
      </w:r>
      <w:r>
        <w:t xml:space="preserve">Diplomat in China Guangzhou</w:t>
      </w:r>
    </w:p>
    <w:p>
      <w:pPr>
        <w:pStyle w:val="BodyText"/>
      </w:pPr>
      <w:r>
        <w:t xml:space="preserve">This involves more than just signing trade agreements. It requires an understanding of local supply chains, manufacturing capabilities, and digital infrastructure. A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rPr>
          <w:bCs/>
          <w:b/>
        </w:rPr>
        <w:t xml:space="preserve">Cultural Mediation:</w:t>
      </w:r>
      <w:r>
        <w:t xml:space="preserve"> </w:t>
      </w:r>
      <w:r>
        <w:t xml:space="preserve">While English is widely spoken in business circles in</w:t>
      </w:r>
    </w:p>
    <w:p>
      <w:pPr>
        <w:pStyle w:val="BodyText"/>
      </w:pPr>
      <w:r>
        <w:t xml:space="preserve">China Guangzhou</w:t>
      </w:r>
    </w:p>
    <w:p>
      <w:pPr>
        <w:pStyle w:val="BodyText"/>
      </w:pPr>
      <w:r>
        <w:t xml:space="preserve">The Cantonese language and culture are distinct from the Mandarin-speaking north. A skilled</w:t>
      </w:r>
    </w:p>
    <w:p>
      <w:pPr>
        <w:pStyle w:val="BodyText"/>
      </w:pPr>
      <w:r>
        <w:t xml:space="preserve">Diplomat</w:t>
      </w:r>
    </w:p>
    <w:p>
      <w:pPr>
        <w:numPr>
          <w:ilvl w:val="0"/>
          <w:numId w:val="1001"/>
        </w:numPr>
        <w:pStyle w:val="Compact"/>
      </w:pPr>
      <w:r>
        <w:t xml:space="preserve">Acknowledging local festivals and customs.</w:t>
      </w:r>
    </w:p>
    <w:p>
      <w:pPr>
        <w:numPr>
          <w:ilvl w:val="0"/>
          <w:numId w:val="1001"/>
        </w:numPr>
        <w:pStyle w:val="Compact"/>
      </w:pPr>
      <w:r>
        <w:t xml:space="preserve">Navigating "Guanxi" (relationships) with authenticity rather than transactional intent.</w:t>
      </w:r>
    </w:p>
    <w:p>
      <w:pPr>
        <w:pStyle w:val="FirstParagraph"/>
      </w:pPr>
      <w:r>
        <w:t xml:space="preserve">This cultural sensitivity is not optional; it is a critical tool for the</w:t>
      </w:r>
    </w:p>
    <w:p>
      <w:pPr>
        <w:pStyle w:val="BodyText"/>
      </w:pPr>
      <w:r>
        <w:t xml:space="preserve">Diplomat</w:t>
      </w:r>
    </w:p>
    <w:bookmarkEnd w:id="21"/>
    <w:bookmarkStart w:id="27" w:name="strategic-challenges-and-opportunities"/>
    <w:p>
      <w:pPr>
        <w:pStyle w:val="Heading2"/>
      </w:pPr>
      <w:r>
        <w:t xml:space="preserve">Strategic Challenges and Opportunities</w:t>
      </w:r>
    </w:p>
    <w:bookmarkStart w:id="22" w:name="the-challenge-of-speed-vs.-protocol"/>
    <w:p>
      <w:pPr>
        <w:pStyle w:val="Heading3"/>
      </w:pPr>
      <w:r>
        <w:t xml:space="preserve">The Challenge of Speed vs. Protocol</w:t>
      </w:r>
    </w:p>
    <w:p>
      <w:pPr>
        <w:pStyle w:val="FirstParagraph"/>
      </w:pPr>
      <w:r>
        <w:rPr>
          <w:bCs/>
          <w:b/>
        </w:rPr>
        <w:t xml:space="preserve">China Guangzhou operates at a velocity that often outpaces traditional diplomatic timelines.</w:t>
      </w:r>
    </w:p>
    <w:p>
      <w:pPr>
        <w:numPr>
          <w:ilvl w:val="0"/>
          <w:numId w:val="1002"/>
        </w:numPr>
        <w:pStyle w:val="Compact"/>
      </w:pPr>
      <w:r>
        <w:t xml:space="preserve">Rapid Tech Adoption:</w:t>
      </w:r>
    </w:p>
    <w:bookmarkEnd w:id="22"/>
    <w:bookmarkStart w:id="23" w:name="X0ebf9bb2f47b55715d610aa31d54c0c69cc3f18"/>
    <w:p>
      <w:pPr>
        <w:pStyle w:val="Heading3"/>
      </w:pPr>
      <w:r>
        <w:t xml:space="preserve">The Challenge of Geopolitical Sensitivity</w:t>
      </w:r>
    </w:p>
    <w:p>
      <w:pPr>
        <w:pStyle w:val="FirstParagraph"/>
      </w:pPr>
      <w:r>
        <w:rPr>
          <w:bCs/>
          <w:b/>
        </w:rPr>
        <w:t xml:space="preserve">Navigating the balance between national interests and local realities.</w:t>
      </w:r>
    </w:p>
    <w:p>
      <w:pPr>
        <w:numPr>
          <w:ilvl w:val="0"/>
          <w:numId w:val="1003"/>
        </w:numPr>
        <w:pStyle w:val="Compact"/>
      </w:pPr>
      <w:r>
        <w:t xml:space="preserve">Balancing Act:</w:t>
      </w:r>
    </w:p>
    <w:bookmarkEnd w:id="23"/>
    <w:bookmarkStart w:id="24" w:name="Xaadfa74b27f9ed68245a20a0c971270efdef6fd"/>
    <w:p>
      <w:pPr>
        <w:pStyle w:val="Heading2"/>
      </w:pPr>
      <w:r>
        <w:t xml:space="preserve">CASE Study Example: The Green Tech Initiative</w:t>
      </w:r>
    </w:p>
    <w:p>
      <w:pPr>
        <w:pStyle w:val="FirstParagraph"/>
      </w:pPr>
      <w:r>
        <w:t xml:space="preserve">To illustrate these concepts, consider a hypothetical scenario involving the introduction of sustainable energy technologies. A</w:t>
      </w:r>
      <w:r>
        <w:t xml:space="preserve"> </w:t>
      </w:r>
      <w:r>
        <w:rPr>
          <w:bCs/>
          <w:b/>
        </w:rPr>
        <w:t xml:space="preserve">Diplomat representing a European nation in China Guangzhou</w:t>
      </w:r>
    </w:p>
    <w:p>
      <w:pPr>
        <w:pStyle w:val="BodyText"/>
      </w:pPr>
      <w:r>
        <w:t xml:space="preserve">The first step taken by the</w:t>
      </w:r>
    </w:p>
    <w:p>
      <w:pPr>
        <w:pStyle w:val="BodyText"/>
      </w:pPr>
      <w:r>
        <w:t xml:space="preserve">Diplomat was not to draft a policy paper, but to engage with local industry leaders in Haizhu District. The</w:t>
      </w:r>
    </w:p>
    <w:p>
      <w:pPr>
        <w:pStyle w:val="BodyText"/>
      </w:pPr>
      <w:r>
        <w:t xml:space="preserve">Diplomat organized roundtable discussions that included representatives from local government bodies, private manufacturing firms, and academic institutions.</w:t>
      </w:r>
    </w:p>
    <w:p>
      <w:pPr>
        <w:pStyle w:val="BodyText"/>
      </w:pPr>
      <w:r>
        <w:t xml:space="preserve">Leveraging Local Networks: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Cultural Adaptation:</w:t>
      </w:r>
    </w:p>
    <w:p>
      <w:pPr>
        <w:pStyle w:val="BodyText"/>
      </w:pPr>
      <w:r>
        <w:t xml:space="preserve">A European-style presentation would have been too rigid. Instead, the</w:t>
      </w:r>
    </w:p>
    <w:p>
      <w:pPr>
        <w:pStyle w:val="BodyText"/>
      </w:pPr>
      <w:r>
        <w:t xml:space="preserve">Diplomat adopted a more relationship-first approach, focusing on long-term mutual benefits rather than immediate sales pitches. This resonated deeply with local partners in</w:t>
      </w:r>
    </w:p>
    <w:p>
      <w:pPr>
        <w:pStyle w:val="BodyText"/>
      </w:pPr>
      <w:r>
        <w:t xml:space="preserve">China Guangzhou</w:t>
      </w:r>
    </w:p>
    <w:p>
      <w:pPr>
        <w:pStyle w:val="BodyText"/>
      </w:pPr>
      <w:r>
        <w:t xml:space="preserve">The outcome was not just a trade deal, but the establishment of a joint innovation lab. The success of this initiative hinged entirely on the</w:t>
      </w:r>
    </w:p>
    <w:p>
      <w:pPr>
        <w:pStyle w:val="BodyText"/>
      </w:pPr>
      <w:r>
        <w:t xml:space="preserve">Diplomat</w:t>
      </w:r>
    </w:p>
    <w:bookmarkEnd w:id="24"/>
    <w:bookmarkStart w:id="25" w:name="the-digital-diplomatic-frontier"/>
    <w:p>
      <w:pPr>
        <w:pStyle w:val="Heading2"/>
      </w:pPr>
      <w:r>
        <w:t xml:space="preserve">The Digital Diplomatic Frontier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China Guangzhou,</w:t>
      </w:r>
    </w:p>
    <w:p>
      <w:pPr>
        <w:pStyle w:val="BodyText"/>
      </w:pPr>
      <w:r>
        <w:t xml:space="preserve">Social Media Integration:</w:t>
      </w:r>
    </w:p>
    <w:p>
      <w:pPr>
        <w:pStyle w:val="BodyText"/>
      </w:pPr>
      <w:r>
        <w:t xml:space="preserve">A modern</w:t>
      </w:r>
    </w:p>
    <w:p>
      <w:pPr>
        <w:pStyle w:val="BodyText"/>
      </w:pPr>
      <w:r>
        <w:t xml:space="preserve">Diplomat must be adept at using WeChat and other local digital platforms. These are not just communication tools; they are essential for public diplomacy, shaping narratives, and maintaining a visible presence in the digital ecosystem of</w:t>
      </w:r>
    </w:p>
    <w:p>
      <w:pPr>
        <w:pStyle w:val="BodyText"/>
      </w:pPr>
      <w:r>
        <w:t xml:space="preserve">China Guangzhou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Diplomat</w:t>
      </w:r>
    </w:p>
    <w:p>
      <w:pPr>
        <w:numPr>
          <w:ilvl w:val="0"/>
          <w:numId w:val="1004"/>
        </w:numPr>
        <w:pStyle w:val="Compact"/>
      </w:pPr>
      <w:r>
        <w:t xml:space="preserve">Publishing content that highlights cultural exchange.</w:t>
      </w:r>
    </w:p>
    <w:p>
      <w:pPr>
        <w:numPr>
          <w:ilvl w:val="0"/>
          <w:numId w:val="1004"/>
        </w:numPr>
        <w:pStyle w:val="Compact"/>
      </w:pPr>
      <w:r>
        <w:t xml:space="preserve">Showcasing business success stories from their home nation.</w:t>
      </w:r>
    </w:p>
    <w:p>
      <w:pPr>
        <w:pStyle w:val="FirstParagraph"/>
      </w:pPr>
      <w:r>
        <w:t xml:space="preserve">This digital footprint enhances the credibility of the embassy and makes the work of the</w:t>
      </w:r>
    </w:p>
    <w:p>
      <w:pPr>
        <w:pStyle w:val="BodyText"/>
      </w:pPr>
      <w:r>
        <w:t xml:space="preserve">Diplomat</w:t>
      </w:r>
    </w:p>
    <w:bookmarkEnd w:id="25"/>
    <w:bookmarkStart w:id="26" w:name="Xf5f83b0c26ec711e448dca2e1396544ef1e51da"/>
    <w:p>
      <w:pPr>
        <w:pStyle w:val="Heading2"/>
      </w:pPr>
      <w:r>
        <w:t xml:space="preserve">Conclusion: The Future of Diplomacy in a Hyper-Connected World</w:t>
      </w:r>
    </w:p>
    <w:p>
      <w:pPr>
        <w:pStyle w:val="FirstParagraph"/>
      </w:pPr>
      <w:r>
        <w:t xml:space="preserve">The case for reimagining diplomacy in</w:t>
      </w:r>
      <w:r>
        <w:t xml:space="preserve"> </w:t>
      </w:r>
      <w:r>
        <w:rPr>
          <w:bCs/>
          <w:b/>
        </w:rPr>
        <w:t xml:space="preserve">China Guangzhou</w:t>
      </w:r>
    </w:p>
    <w:p>
      <w:pPr>
        <w:pStyle w:val="BodyText"/>
      </w:pPr>
      <w:r>
        <w:t xml:space="preserve">Economic Integration is Key:</w:t>
      </w:r>
    </w:p>
    <w:p>
      <w:pPr>
        <w:pStyle w:val="BodyText"/>
      </w:pPr>
      <w:r>
        <w:t xml:space="preserve">The lines between commerce and politics are blurred. A</w:t>
      </w:r>
    </w:p>
    <w:p>
      <w:pPr>
        <w:pStyle w:val="BodyText"/>
      </w:pPr>
      <w:r>
        <w:t xml:space="preserve">Diplomat must be an economic strategist.</w:t>
      </w:r>
    </w:p>
    <w:p>
      <w:pPr>
        <w:pStyle w:val="BodyText"/>
      </w:pPr>
      <w:r>
        <w:t xml:space="preserve">Cultural Depth Over Surface Politeness:</w:t>
      </w:r>
    </w:p>
    <w:p>
      <w:pPr>
        <w:pStyle w:val="BodyText"/>
      </w:pPr>
      <w:r>
        <w:t xml:space="preserve">Understanding the nuances of Cantonese culture and local governance is non-negotiable for a</w:t>
      </w:r>
    </w:p>
    <w:p>
      <w:pPr>
        <w:pStyle w:val="BodyText"/>
      </w:pPr>
      <w:r>
        <w:t xml:space="preserve">Diplomat in China Guangzhou</w:t>
      </w:r>
    </w:p>
    <w:p>
      <w:pPr>
        <w:pStyle w:val="BodyText"/>
      </w:pPr>
      <w:r>
        <w:t xml:space="preserve">Agility and Digital Fluency:</w:t>
      </w:r>
    </w:p>
    <w:p>
      <w:pPr>
        <w:pStyle w:val="BodyText"/>
      </w:pPr>
      <w:r>
        <w:t xml:space="preserve">The pace of change in</w:t>
      </w:r>
    </w:p>
    <w:p>
      <w:pPr>
        <w:pStyle w:val="BodyText"/>
      </w:pPr>
      <w:r>
        <w:t xml:space="preserve">China Guangzhou</w:t>
      </w:r>
    </w:p>
    <w:p>
      <w:pPr>
        <w:pStyle w:val="BodyText"/>
      </w:pPr>
      <w:r>
        <w:t xml:space="preserve">In conclusion, the role of the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t xml:space="preserve">Serving as an economic catalyst.</w:t>
      </w:r>
    </w:p>
    <w:p>
      <w:pPr>
        <w:pStyle w:val="BodyText"/>
      </w:pPr>
      <w:r>
        <w:t xml:space="preserve">Acting as a cultural bridge.</w:t>
      </w:r>
    </w:p>
    <w:p>
      <w:pPr>
        <w:pStyle w:val="BodyText"/>
      </w:pPr>
      <w:r>
        <w:t xml:space="preserve">To succeed in this dynamic environment, the</w:t>
      </w:r>
    </w:p>
    <w:p>
      <w:pPr>
        <w:pStyle w:val="BodyText"/>
      </w:pPr>
      <w:r>
        <w:t xml:space="preserve">Diplomat must abandon outdated models of statecraft and embrace a proactive, engaged, and deeply localized approach. Only by fully integrating into the fabric of</w:t>
      </w:r>
    </w:p>
    <w:p>
      <w:pPr>
        <w:pStyle w:val="BodyText"/>
      </w:pPr>
      <w:r>
        <w:t xml:space="preserve">China Guangzhou</w:t>
      </w:r>
    </w:p>
    <w:p>
      <w:pPr>
        <w:pStyle w:val="BodyText"/>
      </w:pPr>
      <w:r>
        <w:t xml:space="preserve">Acknowledging its unique position.</w:t>
      </w:r>
    </w:p>
    <w:p>
      <w:pPr>
        <w:pStyle w:val="BodyText"/>
      </w:pPr>
      <w:r>
        <w:t xml:space="preserve">This case study serves as a blueprint for future diplomatic engagements in major global hubs. It demonstrates that when a</w:t>
      </w:r>
    </w:p>
    <w:p>
      <w:pPr>
        <w:pStyle w:val="BodyText"/>
      </w:pPr>
      <w:r>
        <w:t xml:space="preserve">Diplomat</w:t>
      </w:r>
    </w:p>
    <w:p>
      <w:pPr>
        <w:pStyle w:val="BodyText"/>
      </w:pPr>
      <w:r>
        <w:rPr>
          <w:iCs/>
          <w:i/>
        </w:rPr>
        <w:t xml:space="preserve">End of Document</w:t>
      </w:r>
    </w:p>
    <w:bookmarkEnd w:id="26"/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Diplomatic Operations in China Guangzhou</dc:title>
  <dc:creator/>
  <dc:language>en</dc:language>
  <cp:keywords/>
  <dcterms:created xsi:type="dcterms:W3CDTF">2026-07-29T12:55:05Z</dcterms:created>
  <dcterms:modified xsi:type="dcterms:W3CDTF">2026-07-29T12:55:05Z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